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1B4332"/>
          <w:sz w:val="32"/>
          <w:szCs w:val="32"/>
        </w:rPr>
        <w:t xml:space="preserve">Prompt Logbook</w:t>
      </w:r>
    </w:p>
    <w:p>
      <w:pPr>
        <w:spacing w:after="160"/>
      </w:pPr>
      <w:r>
        <w:rPr>
          <w:rFonts w:ascii="Times New Roman" w:cs="Times New Roman" w:eastAsia="Times New Roman" w:hAnsi="Times New Roman"/>
          <w:color w:val="444444"/>
          <w:sz w:val="20"/>
          <w:szCs w:val="20"/>
        </w:rPr>
        <w:t xml:space="preserve">ReLoop: AI-enabled reverse logistics for corporate IT-asset and e-waste recovery | WAI project, Logistics and Warehousing Management | Himanshu Rai, XW013-25</w:t>
      </w:r>
    </w:p>
    <w:p>
      <w:pPr>
        <w:spacing w:after="160" w:line="280"/>
        <w:jc w:val="both"/>
      </w:pPr>
      <w:r>
        <w:rPr>
          <w:rFonts w:ascii="Times New Roman" w:cs="Times New Roman" w:eastAsia="Times New Roman" w:hAnsi="Times New Roman"/>
          <w:b/>
          <w:bCs/>
          <w:sz w:val="20"/>
          <w:szCs w:val="20"/>
        </w:rPr>
        <w:t xml:space="preserve">Prompting approach.</w:t>
      </w:r>
      <w:r>
        <w:rPr>
          <w:rFonts w:ascii="Times New Roman" w:cs="Times New Roman" w:eastAsia="Times New Roman" w:hAnsi="Times New Roman"/>
          <w:sz w:val="20"/>
          <w:szCs w:val="20"/>
        </w:rPr>
        <w:t xml:space="preserve"> Role-Context-Constraint-Output structure; one prompt per analytical module; a separate critique prompt after every major result; no number or citation accepted from AI without checking it in code or at the primary source. Primary tool: Claude (Anthropic), October 2026.</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3900"/>
        <w:gridCol w:w="2900"/>
        <w:gridCol w:w="2400"/>
        <w:gridCol w:w="3358"/>
      </w:tblGrid>
      <w:tr>
        <w:trPr>
          <w:tblHeader/>
        </w:trPr>
        <w:tc>
          <w:tcPr>
            <w:tcW w:type="dxa" w:w="500"/>
            <w:tcBorders>
              <w:top w:val="single" w:color="B7C9BE" w:sz="4"/>
              <w:left w:val="single" w:color="B7C9BE" w:sz="4"/>
              <w:bottom w:val="single" w:color="B7C9BE" w:sz="4"/>
              <w:right w:val="single" w:color="B7C9BE" w:sz="4"/>
            </w:tcBorders>
            <w:shd w:fill="1B4332" w:color="auto" w:val="clear"/>
            <w:tcMar>
              <w:top w:type="dxa" w:w="60"/>
              <w:left w:type="dxa" w:w="90"/>
              <w:bottom w:type="dxa" w:w="60"/>
              <w:right w:type="dxa" w:w="90"/>
            </w:tcMar>
          </w:tcPr>
          <w:p>
            <w:pPr>
              <w:spacing w:after="30" w:line="250"/>
            </w:pPr>
            <w:r>
              <w:rPr>
                <w:rFonts w:ascii="Times New Roman" w:cs="Times New Roman" w:eastAsia="Times New Roman" w:hAnsi="Times New Roman"/>
                <w:b/>
                <w:bCs/>
                <w:color w:val="FFFFFF"/>
                <w:sz w:val="18"/>
                <w:szCs w:val="18"/>
              </w:rPr>
              <w:t xml:space="preserve">#</w:t>
            </w:r>
          </w:p>
        </w:tc>
        <w:tc>
          <w:tcPr>
            <w:tcW w:type="dxa" w:w="900"/>
            <w:tcBorders>
              <w:top w:val="single" w:color="B7C9BE" w:sz="4"/>
              <w:left w:val="single" w:color="B7C9BE" w:sz="4"/>
              <w:bottom w:val="single" w:color="B7C9BE" w:sz="4"/>
              <w:right w:val="single" w:color="B7C9BE" w:sz="4"/>
            </w:tcBorders>
            <w:shd w:fill="1B4332" w:color="auto" w:val="clear"/>
            <w:tcMar>
              <w:top w:type="dxa" w:w="60"/>
              <w:left w:type="dxa" w:w="90"/>
              <w:bottom w:type="dxa" w:w="60"/>
              <w:right w:type="dxa" w:w="90"/>
            </w:tcMar>
          </w:tcPr>
          <w:p>
            <w:pPr>
              <w:spacing w:after="30" w:line="250"/>
            </w:pPr>
            <w:r>
              <w:rPr>
                <w:rFonts w:ascii="Times New Roman" w:cs="Times New Roman" w:eastAsia="Times New Roman" w:hAnsi="Times New Roman"/>
                <w:b/>
                <w:bCs/>
                <w:color w:val="FFFFFF"/>
                <w:sz w:val="18"/>
                <w:szCs w:val="18"/>
              </w:rPr>
              <w:t xml:space="preserve">Tool</w:t>
            </w:r>
          </w:p>
        </w:tc>
        <w:tc>
          <w:tcPr>
            <w:tcW w:type="dxa" w:w="3900"/>
            <w:tcBorders>
              <w:top w:val="single" w:color="B7C9BE" w:sz="4"/>
              <w:left w:val="single" w:color="B7C9BE" w:sz="4"/>
              <w:bottom w:val="single" w:color="B7C9BE" w:sz="4"/>
              <w:right w:val="single" w:color="B7C9BE" w:sz="4"/>
            </w:tcBorders>
            <w:shd w:fill="1B4332" w:color="auto" w:val="clear"/>
            <w:tcMar>
              <w:top w:type="dxa" w:w="60"/>
              <w:left w:type="dxa" w:w="90"/>
              <w:bottom w:type="dxa" w:w="60"/>
              <w:right w:type="dxa" w:w="90"/>
            </w:tcMar>
          </w:tcPr>
          <w:p>
            <w:pPr>
              <w:spacing w:after="30" w:line="250"/>
            </w:pPr>
            <w:r>
              <w:rPr>
                <w:rFonts w:ascii="Times New Roman" w:cs="Times New Roman" w:eastAsia="Times New Roman" w:hAnsi="Times New Roman"/>
                <w:b/>
                <w:bCs/>
                <w:color w:val="FFFFFF"/>
                <w:sz w:val="18"/>
                <w:szCs w:val="18"/>
              </w:rPr>
              <w:t xml:space="preserve">Prompt text (condensed)</w:t>
            </w:r>
          </w:p>
        </w:tc>
        <w:tc>
          <w:tcPr>
            <w:tcW w:type="dxa" w:w="2900"/>
            <w:tcBorders>
              <w:top w:val="single" w:color="B7C9BE" w:sz="4"/>
              <w:left w:val="single" w:color="B7C9BE" w:sz="4"/>
              <w:bottom w:val="single" w:color="B7C9BE" w:sz="4"/>
              <w:right w:val="single" w:color="B7C9BE" w:sz="4"/>
            </w:tcBorders>
            <w:shd w:fill="1B4332" w:color="auto" w:val="clear"/>
            <w:tcMar>
              <w:top w:type="dxa" w:w="60"/>
              <w:left w:type="dxa" w:w="90"/>
              <w:bottom w:type="dxa" w:w="60"/>
              <w:right w:type="dxa" w:w="90"/>
            </w:tcMar>
          </w:tcPr>
          <w:p>
            <w:pPr>
              <w:spacing w:after="30" w:line="250"/>
            </w:pPr>
            <w:r>
              <w:rPr>
                <w:rFonts w:ascii="Times New Roman" w:cs="Times New Roman" w:eastAsia="Times New Roman" w:hAnsi="Times New Roman"/>
                <w:b/>
                <w:bCs/>
                <w:color w:val="FFFFFF"/>
                <w:sz w:val="18"/>
                <w:szCs w:val="18"/>
              </w:rPr>
              <w:t xml:space="preserve">Output summary</w:t>
            </w:r>
          </w:p>
        </w:tc>
        <w:tc>
          <w:tcPr>
            <w:tcW w:type="dxa" w:w="2400"/>
            <w:tcBorders>
              <w:top w:val="single" w:color="B7C9BE" w:sz="4"/>
              <w:left w:val="single" w:color="B7C9BE" w:sz="4"/>
              <w:bottom w:val="single" w:color="B7C9BE" w:sz="4"/>
              <w:right w:val="single" w:color="B7C9BE" w:sz="4"/>
            </w:tcBorders>
            <w:shd w:fill="1B4332" w:color="auto" w:val="clear"/>
            <w:tcMar>
              <w:top w:type="dxa" w:w="60"/>
              <w:left w:type="dxa" w:w="90"/>
              <w:bottom w:type="dxa" w:w="60"/>
              <w:right w:type="dxa" w:w="90"/>
            </w:tcMar>
          </w:tcPr>
          <w:p>
            <w:pPr>
              <w:spacing w:after="30" w:line="250"/>
            </w:pPr>
            <w:r>
              <w:rPr>
                <w:rFonts w:ascii="Times New Roman" w:cs="Times New Roman" w:eastAsia="Times New Roman" w:hAnsi="Times New Roman"/>
                <w:b/>
                <w:bCs/>
                <w:color w:val="FFFFFF"/>
                <w:sz w:val="18"/>
                <w:szCs w:val="18"/>
              </w:rPr>
              <w:t xml:space="preserve">Usage in project</w:t>
            </w:r>
          </w:p>
        </w:tc>
        <w:tc>
          <w:tcPr>
            <w:tcW w:type="dxa" w:w="3358"/>
            <w:tcBorders>
              <w:top w:val="single" w:color="B7C9BE" w:sz="4"/>
              <w:left w:val="single" w:color="B7C9BE" w:sz="4"/>
              <w:bottom w:val="single" w:color="B7C9BE" w:sz="4"/>
              <w:right w:val="single" w:color="B7C9BE" w:sz="4"/>
            </w:tcBorders>
            <w:shd w:fill="1B4332" w:color="auto" w:val="clear"/>
            <w:tcMar>
              <w:top w:type="dxa" w:w="60"/>
              <w:left w:type="dxa" w:w="90"/>
              <w:bottom w:type="dxa" w:w="60"/>
              <w:right w:type="dxa" w:w="90"/>
            </w:tcMar>
          </w:tcPr>
          <w:p>
            <w:pPr>
              <w:spacing w:after="30" w:line="250"/>
            </w:pPr>
            <w:r>
              <w:rPr>
                <w:rFonts w:ascii="Times New Roman" w:cs="Times New Roman" w:eastAsia="Times New Roman" w:hAnsi="Times New Roman"/>
                <w:b/>
                <w:bCs/>
                <w:color w:val="FFFFFF"/>
                <w:sz w:val="18"/>
                <w:szCs w:val="18"/>
              </w:rPr>
              <w:t xml:space="preserve">Reflection</w:t>
            </w:r>
          </w:p>
        </w:tc>
      </w:tr>
      <w:tr>
        <w:trPr>
          <w:cantSplit/>
        </w:trPr>
        <w:tc>
          <w:tcPr>
            <w:tcW w:type="dxa" w:w="5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1</w:t>
            </w:r>
          </w:p>
        </w:tc>
        <w:tc>
          <w:tcPr>
            <w:tcW w:type="dxa" w:w="9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Claude</w:t>
            </w:r>
          </w:p>
        </w:tc>
        <w:tc>
          <w:tcPr>
            <w:tcW w:type="dxa" w:w="39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b/>
                <w:bCs/>
                <w:sz w:val="18"/>
                <w:szCs w:val="18"/>
              </w:rPr>
              <w:t xml:space="preserve">Role:</w:t>
            </w:r>
            <w:r>
              <w:rPr>
                <w:rFonts w:ascii="Times New Roman" w:cs="Times New Roman" w:eastAsia="Times New Roman" w:hAnsi="Times New Roman"/>
                <w:sz w:val="18"/>
                <w:szCs w:val="18"/>
              </w:rPr>
              <w:t xml:space="preserve"> academic strategist. </w:t>
            </w:r>
            <w:r>
              <w:rPr>
                <w:rFonts w:ascii="Times New Roman" w:cs="Times New Roman" w:eastAsia="Times New Roman" w:hAnsi="Times New Roman"/>
                <w:b/>
                <w:bCs/>
                <w:sz w:val="18"/>
                <w:szCs w:val="18"/>
              </w:rPr>
              <w:t xml:space="preserve">Context:</w:t>
            </w:r>
            <w:r>
              <w:rPr>
                <w:rFonts w:ascii="Times New Roman" w:cs="Times New Roman" w:eastAsia="Times New Roman" w:hAnsi="Times New Roman"/>
                <w:sz w:val="18"/>
                <w:szCs w:val="18"/>
              </w:rPr>
              <w:t xml:space="preserve"> LWM WAI brief, course syllabus (20 sessions), batch profile (35 peers), faculty research profile. </w:t>
            </w:r>
            <w:r>
              <w:rPr>
                <w:rFonts w:ascii="Times New Roman" w:cs="Times New Roman" w:eastAsia="Times New Roman" w:hAnsi="Times New Roman"/>
                <w:b/>
                <w:bCs/>
                <w:sz w:val="18"/>
                <w:szCs w:val="18"/>
              </w:rPr>
              <w:t xml:space="preserve">Task:</w:t>
            </w:r>
            <w:r>
              <w:rPr>
                <w:rFonts w:ascii="Times New Roman" w:cs="Times New Roman" w:eastAsia="Times New Roman" w:hAnsi="Times New Roman"/>
                <w:sz w:val="18"/>
                <w:szCs w:val="18"/>
              </w:rPr>
              <w:t xml:space="preserve"> "Suggest a project area that will be unique within this batch, map tightly to the LWM sessions and the professor's research, and fit my BFSI/IT background. Give 3 options with trade-offs."</w:t>
            </w:r>
          </w:p>
        </w:tc>
        <w:tc>
          <w:tcPr>
            <w:tcW w:type="dxa" w:w="29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Batch analysis: ~16 of 35 peers from Hindalco/Vedanta, others from IOCL, IT services, banks. Proposed (a) corporate IT-asset/e-waste reverse logistics, (b) ATM cash logistics, (c) data-centre spares.</w:t>
            </w:r>
          </w:p>
        </w:tc>
        <w:tc>
          <w:tcPr>
            <w:tcW w:type="dxa" w:w="24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Chose option (a): least likely overlap; aligns with faculty work on circular economy, trucking risk and digitisation barriers.</w:t>
            </w:r>
          </w:p>
        </w:tc>
        <w:tc>
          <w:tcPr>
            <w:tcW w:type="dxa" w:w="3358"/>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Useful framing of "differentiation by topic". I verified faculty research areas myself from the IIM Ranchi faculty page and Google Scholar before accepting.</w:t>
            </w:r>
          </w:p>
        </w:tc>
      </w:tr>
      <w:tr>
        <w:trPr>
          <w:cantSplit/>
        </w:trPr>
        <w:tc>
          <w:tcPr>
            <w:tcW w:type="dxa" w:w="5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2</w:t>
            </w:r>
          </w:p>
        </w:tc>
        <w:tc>
          <w:tcPr>
            <w:tcW w:type="dxa" w:w="9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Claude</w:t>
            </w:r>
          </w:p>
        </w:tc>
        <w:tc>
          <w:tcPr>
            <w:tcW w:type="dxa" w:w="39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"Map every LWM session (1-20) to a concept that this project can genuinely use. Flag any session that would be a forced fit."</w:t>
            </w:r>
          </w:p>
        </w:tc>
        <w:tc>
          <w:tcPr>
            <w:tcW w:type="dxa" w:w="29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Draft concept map; flagged Sessions 10-11 (petroleum guest sessions) as indirect, usable via resilience/transport risk only.</w:t>
            </w:r>
          </w:p>
        </w:tc>
        <w:tc>
          <w:tcPr>
            <w:tcW w:type="dxa" w:w="24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Became Table 4 (concept map) in the report.</w:t>
            </w:r>
          </w:p>
        </w:tc>
        <w:tc>
          <w:tcPr>
            <w:tcW w:type="dxa" w:w="3358"/>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Good discipline: forced links were dropped rather than padded.</w:t>
            </w:r>
          </w:p>
        </w:tc>
      </w:tr>
      <w:tr>
        <w:trPr>
          <w:cantSplit/>
        </w:trPr>
        <w:tc>
          <w:tcPr>
            <w:tcW w:type="dxa" w:w="5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3</w:t>
            </w:r>
          </w:p>
        </w:tc>
        <w:tc>
          <w:tcPr>
            <w:tcW w:type="dxa" w:w="9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Claude + web search</w:t>
            </w:r>
          </w:p>
        </w:tc>
        <w:tc>
          <w:tcPr>
            <w:tcW w:type="dxa" w:w="39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"Find the latest official CPCB figures on e-waste generation, formal processing and state-wise processing after the E-Waste Rules 2022. Give source, date and exact figures only from the primary release."</w:t>
            </w:r>
          </w:p>
        </w:tc>
        <w:tc>
          <w:tcPr>
            <w:tcW w:type="dxa" w:w="29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Located PIB releases 1943201 (FY18-FY22 generation), 1941054 (FY22 processing) and 2147876 (FY24-FY25 state data and recyclers).</w:t>
            </w:r>
          </w:p>
        </w:tc>
        <w:tc>
          <w:tcPr>
            <w:tcW w:type="dxa" w:w="24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Raw data files data/raw/*.csv.</w:t>
            </w:r>
          </w:p>
        </w:tc>
        <w:tc>
          <w:tcPr>
            <w:tcW w:type="dxa" w:w="3358"/>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Secondary websites quoted conflicting totals; I used only PIB primary tables and recomputed totals in code (state sum matched 9,88,479 t).</w:t>
            </w:r>
          </w:p>
        </w:tc>
      </w:tr>
      <w:tr>
        <w:trPr>
          <w:cantSplit/>
        </w:trPr>
        <w:tc>
          <w:tcPr>
            <w:tcW w:type="dxa" w:w="5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4</w:t>
            </w:r>
          </w:p>
        </w:tc>
        <w:tc>
          <w:tcPr>
            <w:tcW w:type="dxa" w:w="9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Claude</w:t>
            </w:r>
          </w:p>
        </w:tc>
        <w:tc>
          <w:tcPr>
            <w:tcW w:type="dxa" w:w="39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"CPCB does not publish state-wise generation. Propose a defensible proxy and its biases."</w:t>
            </w:r>
          </w:p>
        </w:tc>
        <w:tc>
          <w:tcPr>
            <w:tcW w:type="dxa" w:w="29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Options: GSDP share, population, urban population, electronics sales. Recommended GSDP with stated bias against IT-dense states.</w:t>
            </w:r>
          </w:p>
        </w:tc>
        <w:tc>
          <w:tcPr>
            <w:tcW w:type="dxa" w:w="24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GSDP proxy in a01; disclosed in Limitations.</w:t>
            </w:r>
          </w:p>
        </w:tc>
        <w:tc>
          <w:tcPr>
            <w:tcW w:type="dxa" w:w="3358"/>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Accepted with caveat; values must be verified against RBI Handbook before final submission.</w:t>
            </w:r>
          </w:p>
        </w:tc>
      </w:tr>
      <w:tr>
        <w:trPr>
          <w:cantSplit/>
        </w:trPr>
        <w:tc>
          <w:tcPr>
            <w:tcW w:type="dxa" w:w="5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5</w:t>
            </w:r>
          </w:p>
        </w:tc>
        <w:tc>
          <w:tcPr>
            <w:tcW w:type="dxa" w:w="9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Claude</w:t>
            </w:r>
          </w:p>
        </w:tc>
        <w:tc>
          <w:tcPr>
            <w:tcW w:type="dxa" w:w="39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"Design a synthetic dataset of 12,000 returned corporate IT assets. Features must be things a grader can observe at intake. Make the target depend on them through documented logic plus noise, so a model cannot simply memorise a rule."</w:t>
            </w:r>
          </w:p>
        </w:tc>
        <w:tc>
          <w:tcPr>
            <w:tcW w:type="dxa" w:w="29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Feature list and generation code (age, storage health, battery, CPU generation gap, cosmetic grade, failure flag, wipe verification).</w:t>
            </w:r>
          </w:p>
        </w:tc>
        <w:tc>
          <w:tcPr>
            <w:tcW w:type="dxa" w:w="24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a03_disposition_ml.py data generator.</w:t>
            </w:r>
          </w:p>
        </w:tc>
        <w:tc>
          <w:tcPr>
            <w:tcW w:type="dxa" w:w="3358"/>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I added the constraint that un-wipeable media can never leave as a device; the AI draft had missed this security rule.</w:t>
            </w:r>
          </w:p>
        </w:tc>
      </w:tr>
      <w:tr>
        <w:trPr>
          <w:cantSplit/>
        </w:trPr>
        <w:tc>
          <w:tcPr>
            <w:tcW w:type="dxa" w:w="5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6</w:t>
            </w:r>
          </w:p>
        </w:tc>
        <w:tc>
          <w:tcPr>
            <w:tcW w:type="dxa" w:w="9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Claude</w:t>
            </w:r>
          </w:p>
        </w:tc>
        <w:tc>
          <w:tcPr>
            <w:tcW w:type="dxa" w:w="39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"Write a scikit-learn pipeline to classify disposition. Evaluate on value recovered in INR, not only accuracy, against the rule age&gt;=4 or failed -&gt; recycle."</w:t>
            </w:r>
          </w:p>
        </w:tc>
        <w:tc>
          <w:tcPr>
            <w:tcW w:type="dxa" w:w="29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Random Forest code, cross-validation and a realised-value function with rework penalty.</w:t>
            </w:r>
          </w:p>
        </w:tc>
        <w:tc>
          <w:tcPr>
            <w:tcW w:type="dxa" w:w="24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Section 5.3 and Figure 3.</w:t>
            </w:r>
          </w:p>
        </w:tc>
        <w:tc>
          <w:tcPr>
            <w:tcW w:type="dxa" w:w="3358"/>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Shifting the metric from accuracy to rupees changed the story: accuracy 76%, but the managerially relevant result is +Rs 828 per asset.</w:t>
            </w:r>
          </w:p>
        </w:tc>
      </w:tr>
      <w:tr>
        <w:trPr>
          <w:cantSplit/>
        </w:trPr>
        <w:tc>
          <w:tcPr>
            <w:tcW w:type="dxa" w:w="5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7</w:t>
            </w:r>
          </w:p>
        </w:tc>
        <w:tc>
          <w:tcPr>
            <w:tcW w:type="dxa" w:w="9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Claude</w:t>
            </w:r>
          </w:p>
        </w:tc>
        <w:tc>
          <w:tcPr>
            <w:tcW w:type="dxa" w:w="39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"Recommend a model to forecast India's formal e-waste flow to FY30."</w:t>
            </w:r>
          </w:p>
        </w:tc>
        <w:tc>
          <w:tcPr>
            <w:tcW w:type="dxa" w:w="29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First suggestion: Prophet / ARIMA. On critique prompt ("attack this choice given 7 annual points and a methodology change in 2023"), it conceded over-fitting risk and proposed a logistic curve plus a policy-scenario model.</w:t>
            </w:r>
          </w:p>
        </w:tc>
        <w:tc>
          <w:tcPr>
            <w:tcW w:type="dxa" w:w="24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Dual-model forecast (Figure 2).</w:t>
            </w:r>
          </w:p>
        </w:tc>
        <w:tc>
          <w:tcPr>
            <w:tcW w:type="dxa" w:w="3358"/>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Key learning: AI's default tool choice is not always right; the critique prompt is where the value came from.</w:t>
            </w:r>
          </w:p>
        </w:tc>
      </w:tr>
      <w:tr>
        <w:trPr>
          <w:cantSplit/>
        </w:trPr>
        <w:tc>
          <w:tcPr>
            <w:tcW w:type="dxa" w:w="5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8</w:t>
            </w:r>
          </w:p>
        </w:tc>
        <w:tc>
          <w:tcPr>
            <w:tcW w:type="dxa" w:w="9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Claude</w:t>
            </w:r>
          </w:p>
        </w:tc>
        <w:tc>
          <w:tcPr>
            <w:tcW w:type="dxa" w:w="39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"Write an OR-Tools MILP for capacitated hub location with single sourcing, ML-driven onward flows to recyclers, and three scenarios (central vendor, hubs with north recyclers, fully optimised)."</w:t>
            </w:r>
          </w:p>
        </w:tc>
        <w:tc>
          <w:tcPr>
            <w:tcW w:type="dxa" w:w="29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Working SCIP model and scenario harness.</w:t>
            </w:r>
          </w:p>
        </w:tc>
        <w:tc>
          <w:tcPr>
            <w:tcW w:type="dxa" w:w="24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a04_network_design.py.</w:t>
            </w:r>
          </w:p>
        </w:tc>
        <w:tc>
          <w:tcPr>
            <w:tcW w:type="dxa" w:w="3358"/>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Code checked line by line against my own formulation (Annex B).</w:t>
            </w:r>
          </w:p>
        </w:tc>
      </w:tr>
      <w:tr>
        <w:trPr>
          <w:cantSplit/>
        </w:trPr>
        <w:tc>
          <w:tcPr>
            <w:tcW w:type="dxa" w:w="5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9</w:t>
            </w:r>
          </w:p>
        </w:tc>
        <w:tc>
          <w:tcPr>
            <w:tcW w:type="dxa" w:w="9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Claude</w:t>
            </w:r>
          </w:p>
        </w:tc>
        <w:tc>
          <w:tcPr>
            <w:tcW w:type="dxa" w:w="39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"The status quo comes out cheaper than the hub network. Red-team the assumptions."</w:t>
            </w:r>
          </w:p>
        </w:tc>
        <w:tc>
          <w:tcPr>
            <w:tcW w:type="dxa" w:w="29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Identified that bulk-freight rates (Rs 2.9-6.5 per t-km) under-price low-density IT cargo that cubes out at ~6-7 t per truck, and that data-bearing legs need secure transport.</w:t>
            </w:r>
          </w:p>
        </w:tc>
        <w:tc>
          <w:tcPr>
            <w:tcW w:type="dxa" w:w="24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Rates revised (Annex C); result reversed to 39.6% saving; sensitivity analysis added.</w:t>
            </w:r>
          </w:p>
        </w:tc>
        <w:tc>
          <w:tcPr>
            <w:tcW w:type="dxa" w:w="3358"/>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Most important correction in the project. Without it the recommendation would have been wrong. Sensitivity table shows the conclusion holds under +/-30%.</w:t>
            </w:r>
          </w:p>
        </w:tc>
      </w:tr>
      <w:tr>
        <w:trPr>
          <w:cantSplit/>
        </w:trPr>
        <w:tc>
          <w:tcPr>
            <w:tcW w:type="dxa" w:w="5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10</w:t>
            </w:r>
          </w:p>
        </w:tc>
        <w:tc>
          <w:tcPr>
            <w:tcW w:type="dxa" w:w="9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Claude</w:t>
            </w:r>
          </w:p>
        </w:tc>
        <w:tc>
          <w:tcPr>
            <w:tcW w:type="dxa" w:w="39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"Write an OR-Tools CVRP for weekly milk-runs across 20 Pune office parks with van capacity and route length limits."</w:t>
            </w:r>
          </w:p>
        </w:tc>
        <w:tc>
          <w:tcPr>
            <w:tcW w:type="dxa" w:w="29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Routing model with guided local search.</w:t>
            </w:r>
          </w:p>
        </w:tc>
        <w:tc>
          <w:tcPr>
            <w:tcW w:type="dxa" w:w="24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a05_milkrun_vrp.py; Figure 5.</w:t>
            </w:r>
          </w:p>
        </w:tc>
        <w:tc>
          <w:tcPr>
            <w:tcW w:type="dxa" w:w="3358"/>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Used real locality coordinates; volumes synthetic.</w:t>
            </w:r>
          </w:p>
        </w:tc>
      </w:tr>
      <w:tr>
        <w:trPr>
          <w:cantSplit/>
        </w:trPr>
        <w:tc>
          <w:tcPr>
            <w:tcW w:type="dxa" w:w="5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11</w:t>
            </w:r>
          </w:p>
        </w:tc>
        <w:tc>
          <w:tcPr>
            <w:tcW w:type="dxa" w:w="9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Claude</w:t>
            </w:r>
          </w:p>
        </w:tc>
        <w:tc>
          <w:tcPr>
            <w:tcW w:type="dxa" w:w="39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"Act as three experts (ITAD operations head, CISO, EHS/EPR compliance lead). Rate severity, occurrence and detection of these 10 failure modes using VL-VH linguistic terms, with a one-line reason each."</w:t>
            </w:r>
          </w:p>
        </w:tc>
        <w:tc>
          <w:tcPr>
            <w:tcW w:type="dxa" w:w="29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Three rating sets with reasons.</w:t>
            </w:r>
          </w:p>
        </w:tc>
        <w:tc>
          <w:tcPr>
            <w:tcW w:type="dxa" w:w="24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Fuzzy FMEA input (Annex D, Table D2).</w:t>
            </w:r>
          </w:p>
        </w:tc>
        <w:tc>
          <w:tcPr>
            <w:tcW w:type="dxa" w:w="3358"/>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Disclosed as simulated. To be validated with two practitioners before final submission.</w:t>
            </w:r>
          </w:p>
        </w:tc>
      </w:tr>
      <w:tr>
        <w:trPr>
          <w:cantSplit/>
        </w:trPr>
        <w:tc>
          <w:tcPr>
            <w:tcW w:type="dxa" w:w="5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12</w:t>
            </w:r>
          </w:p>
        </w:tc>
        <w:tc>
          <w:tcPr>
            <w:tcW w:type="dxa" w:w="9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Claude</w:t>
            </w:r>
          </w:p>
        </w:tc>
        <w:tc>
          <w:tcPr>
            <w:tcW w:type="dxa" w:w="39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"Build an offline HTML dashboard from results.json with 6-7 visuals and a what-if NPV control."</w:t>
            </w:r>
          </w:p>
        </w:tc>
        <w:tc>
          <w:tcPr>
            <w:tcW w:type="dxa" w:w="29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Chart.js dashboard with inlined library.</w:t>
            </w:r>
          </w:p>
        </w:tc>
        <w:tc>
          <w:tcPr>
            <w:tcW w:type="dxa" w:w="24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dashboard/ReLoop_Control_Tower.html.</w:t>
            </w:r>
          </w:p>
        </w:tc>
        <w:tc>
          <w:tcPr>
            <w:tcW w:type="dxa" w:w="3358"/>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Inlined the library so it runs without internet during evaluation.</w:t>
            </w:r>
          </w:p>
        </w:tc>
      </w:tr>
      <w:tr>
        <w:trPr>
          <w:cantSplit/>
        </w:trPr>
        <w:tc>
          <w:tcPr>
            <w:tcW w:type="dxa" w:w="5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13</w:t>
            </w:r>
          </w:p>
        </w:tc>
        <w:tc>
          <w:tcPr>
            <w:tcW w:type="dxa" w:w="9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Claude</w:t>
            </w:r>
          </w:p>
        </w:tc>
        <w:tc>
          <w:tcPr>
            <w:tcW w:type="dxa" w:w="39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"Review the report as Prof. Dadsena would: where is the logic weak, where are claims unsupported, which numbers lack a source?"</w:t>
            </w:r>
          </w:p>
        </w:tc>
        <w:tc>
          <w:tcPr>
            <w:tcW w:type="dxa" w:w="29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Flagged: GSDP proxy bias, simulated panel, missing severity discussion in FMEA.</w:t>
            </w:r>
          </w:p>
        </w:tc>
        <w:tc>
          <w:tcPr>
            <w:tcW w:type="dxa" w:w="24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Added severity-override rule (Section 5.6) and Limitations.</w:t>
            </w:r>
          </w:p>
        </w:tc>
        <w:tc>
          <w:tcPr>
            <w:tcW w:type="dxa" w:w="3358"/>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Self-critique loop raised rigour more than any drafting prompt.</w:t>
            </w:r>
          </w:p>
        </w:tc>
      </w:tr>
      <w:tr>
        <w:trPr>
          <w:cantSplit/>
        </w:trPr>
        <w:tc>
          <w:tcPr>
            <w:tcW w:type="dxa" w:w="5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14</w:t>
            </w:r>
          </w:p>
        </w:tc>
        <w:tc>
          <w:tcPr>
            <w:tcW w:type="dxa" w:w="9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Claude</w:t>
            </w:r>
          </w:p>
        </w:tc>
        <w:tc>
          <w:tcPr>
            <w:tcW w:type="dxa" w:w="39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"Here are Lok Sabha replies (2020, 2021), the CPCB recycler registry PDF, PIB data and the Jharkhand Economic Survey. Replace synthetic inputs with real data wherever public data exists; tell me honestly what must stay synthetic."</w:t>
            </w:r>
          </w:p>
        </w:tc>
        <w:tc>
          <w:tcPr>
            <w:tcW w:type="dxa" w:w="29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Parsed 413 registry rows; found TRAI state ICT table (JES Table 9.8) usable as a device-stock proxy; listed what cannot be public (asset registers, client volumes).</w:t>
            </w:r>
          </w:p>
        </w:tc>
        <w:tc>
          <w:tcPr>
            <w:tcW w:type="dxa" w:w="24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Real-data rebuild of diagnostics, typology and recycler side of the MILP.</w:t>
            </w:r>
          </w:p>
        </w:tc>
        <w:tc>
          <w:tcPr>
            <w:tcW w:type="dxa" w:w="3358"/>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The most valuable data came from documents I already had; AI helped locate the usable table inside an 858-page survey.</w:t>
            </w:r>
          </w:p>
        </w:tc>
      </w:tr>
      <w:tr>
        <w:trPr>
          <w:cantSplit/>
        </w:trPr>
        <w:tc>
          <w:tcPr>
            <w:tcW w:type="dxa" w:w="5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15</w:t>
            </w:r>
          </w:p>
        </w:tc>
        <w:tc>
          <w:tcPr>
            <w:tcW w:type="dxa" w:w="9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Claude</w:t>
            </w:r>
          </w:p>
        </w:tc>
        <w:tc>
          <w:tcPr>
            <w:tcW w:type="dxa" w:w="39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"Clean the registry and flag anomalies before analysis."</w:t>
            </w:r>
          </w:p>
        </w:tc>
        <w:tc>
          <w:tcPr>
            <w:tcW w:type="dxa" w:w="29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Removed 2 dummy records ("Recycler Test"); flagged implausible J&amp;K FY21 value and "Not received" entries as missing, not zero.</w:t>
            </w:r>
          </w:p>
        </w:tc>
        <w:tc>
          <w:tcPr>
            <w:tcW w:type="dxa" w:w="24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Section 4 cleaning log; t01_recycler_registry_clean.csv.</w:t>
            </w:r>
          </w:p>
        </w:tc>
        <w:tc>
          <w:tcPr>
            <w:tcW w:type="dxa" w:w="3358"/>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Without this check a test record in Delhi would have appeared as a real recycler.</w:t>
            </w:r>
          </w:p>
        </w:tc>
      </w:tr>
      <w:tr>
        <w:trPr>
          <w:cantSplit/>
        </w:trPr>
        <w:tc>
          <w:tcPr>
            <w:tcW w:type="dxa" w:w="5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16</w:t>
            </w:r>
          </w:p>
        </w:tc>
        <w:tc>
          <w:tcPr>
            <w:tcW w:type="dxa" w:w="9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Claude</w:t>
            </w:r>
          </w:p>
        </w:tc>
        <w:tc>
          <w:tcPr>
            <w:tcW w:type="dxa" w:w="39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"Is my result sensitive to the generation proxy? Compare GSDP and internet-subscriber proxies."</w:t>
            </w:r>
          </w:p>
        </w:tc>
        <w:tc>
          <w:tcPr>
            <w:tcW w:type="dxa" w:w="29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Spearman rank correlation 0.99 between the two mismatch indices.</w:t>
            </w:r>
          </w:p>
        </w:tc>
        <w:tc>
          <w:tcPr>
            <w:tcW w:type="dxa" w:w="24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GSDP demoted to a robustness check.</w:t>
            </w:r>
          </w:p>
        </w:tc>
        <w:tc>
          <w:tcPr>
            <w:tcW w:type="dxa" w:w="3358"/>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Removed the need to defend an unverified proxy; the conclusion holds either way.</w:t>
            </w:r>
          </w:p>
        </w:tc>
      </w:tr>
      <w:tr>
        <w:trPr>
          <w:cantSplit/>
        </w:trPr>
        <w:tc>
          <w:tcPr>
            <w:tcW w:type="dxa" w:w="5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17</w:t>
            </w:r>
          </w:p>
        </w:tc>
        <w:tc>
          <w:tcPr>
            <w:tcW w:type="dxa" w:w="9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Claude</w:t>
            </w:r>
          </w:p>
        </w:tc>
        <w:tc>
          <w:tcPr>
            <w:tcW w:type="dxa" w:w="39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"Cluster the regions into types a 3PL can act on, using size-neutral ratios only."</w:t>
            </w:r>
          </w:p>
        </w:tc>
        <w:tc>
          <w:tcPr>
            <w:tcW w:type="dxa" w:w="29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First attempt with raw volumes gave a trivial big-vs-small split (k=2); ratio features gave 4 interpretable types (silhouette 0.50).</w:t>
            </w:r>
          </w:p>
        </w:tc>
        <w:tc>
          <w:tcPr>
            <w:tcW w:type="dxa" w:w="2400"/>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Figure 1e; Section 5.1.</w:t>
            </w:r>
          </w:p>
        </w:tc>
        <w:tc>
          <w:tcPr>
            <w:tcW w:type="dxa" w:w="3358"/>
            <w:tcBorders>
              <w:top w:val="single" w:color="B7C9BE" w:sz="4"/>
              <w:left w:val="single" w:color="B7C9BE" w:sz="4"/>
              <w:bottom w:val="single" w:color="B7C9BE" w:sz="4"/>
              <w:right w:val="single" w:color="B7C9BE" w:sz="4"/>
            </w:tcBorders>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Feature design mattered more than the algorithm.</w:t>
            </w:r>
          </w:p>
        </w:tc>
      </w:tr>
      <w:tr>
        <w:trPr>
          <w:cantSplit/>
        </w:trPr>
        <w:tc>
          <w:tcPr>
            <w:tcW w:type="dxa" w:w="5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18</w:t>
            </w:r>
          </w:p>
        </w:tc>
        <w:tc>
          <w:tcPr>
            <w:tcW w:type="dxa" w:w="9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Claude</w:t>
            </w:r>
          </w:p>
        </w:tc>
        <w:tc>
          <w:tcPr>
            <w:tcW w:type="dxa" w:w="39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"Here are 4 real survey responses. Re-run the fuzzy FMEA with experience weights, screen data quality, and compare with the simulated panel."</w:t>
            </w:r>
          </w:p>
        </w:tc>
        <w:tc>
          <w:tcPr>
            <w:tcW w:type="dxa" w:w="29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One response gave Medium to all 30 items (straight-lining) and was excluded; real top-3 = R2, R7, R1; rank correlation with simulated panel 0.10; robust to including the excluded response (0.99).</w:t>
            </w:r>
          </w:p>
        </w:tc>
        <w:tc>
          <w:tcPr>
            <w:tcW w:type="dxa" w:w="2400"/>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Section 5.6, Figure 6, Table D2.</w:t>
            </w:r>
          </w:p>
        </w:tc>
        <w:tc>
          <w:tcPr>
            <w:tcW w:type="dxa" w:w="3358"/>
            <w:tcBorders>
              <w:top w:val="single" w:color="B7C9BE" w:sz="4"/>
              <w:left w:val="single" w:color="B7C9BE" w:sz="4"/>
              <w:bottom w:val="single" w:color="B7C9BE" w:sz="4"/>
              <w:right w:val="single" w:color="B7C9BE" w:sz="4"/>
            </w:tcBorders>
            <w:shd w:fill="EEF5F0" w:color="auto" w:val="clear"/>
            <w:tcMar>
              <w:top w:type="dxa" w:w="60"/>
              <w:left w:type="dxa" w:w="90"/>
              <w:bottom w:type="dxa" w:w="60"/>
              <w:right w:type="dxa" w:w="90"/>
            </w:tcMar>
          </w:tcPr>
          <w:p>
            <w:pPr>
              <w:spacing w:after="30" w:line="250"/>
            </w:pPr>
            <w:r>
              <w:rPr>
                <w:rFonts w:ascii="Times New Roman" w:cs="Times New Roman" w:eastAsia="Times New Roman" w:hAnsi="Times New Roman"/>
                <w:sz w:val="18"/>
                <w:szCs w:val="18"/>
              </w:rPr>
              <w:t xml:space="preserve">The simulated panel was confidently wrong about the operational risk practitioners face most (refresh surges). Biggest lesson of the project about the limits of AI judgement.</w:t>
            </w:r>
          </w:p>
        </w:tc>
      </w:tr>
    </w:tbl>
    <w:p>
      <w:pPr>
        <w:spacing w:before="200"/>
      </w:pPr>
      <w:r>
        <w:rPr>
          <w:rFonts w:ascii="Times New Roman" w:cs="Times New Roman" w:eastAsia="Times New Roman" w:hAnsi="Times New Roman"/>
          <w:b/>
          <w:bCs/>
          <w:sz w:val="20"/>
          <w:szCs w:val="20"/>
        </w:rPr>
        <w:t xml:space="preserve">Overall reflection.</w:t>
      </w:r>
      <w:r>
        <w:rPr>
          <w:rFonts w:ascii="Times New Roman" w:cs="Times New Roman" w:eastAsia="Times New Roman" w:hAnsi="Times New Roman"/>
          <w:sz w:val="20"/>
          <w:szCs w:val="20"/>
        </w:rPr>
        <w:t xml:space="preserve"> AI was most valuable as a fast drafter of code and as a sparring partner when explicitly asked to attack its own output (entries 7, 9, 13, 16, 18). It was least reliable on default method choices and on cost parameters it had no domain context for. Human judgement decided the problem, the metric (rupees, not accuracy) and every assumption.</w:t>
      </w:r>
    </w:p>
    <w:sectPr>
      <w:footerReference w:type="default" r:id="rId7"/>
      <w:pgSz w:w="16838" w:h="11906"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6"/>
        <w:szCs w:val="16"/>
      </w:rPr>
      <w:t xml:space="preserve">ReLoop WAI | Prompt Logbook | Himanshu Rai, XW013-25 | 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2026-10-05T11:20:36.338Z</dcterms:created>
  <dcterms:modified xsi:type="dcterms:W3CDTF">2026-10-05T11:20:36.339Z</dcterms:modified>
</cp:coreProperties>
</file>

<file path=docProps/custom.xml><?xml version="1.0" encoding="utf-8"?>
<Properties xmlns="http://schemas.openxmlformats.org/officeDocument/2006/custom-properties" xmlns:vt="http://schemas.openxmlformats.org/officeDocument/2006/docPropsVTypes"/>
</file>