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100" w:before="200" w:line="300"/>
      </w:pPr>
      <w:r>
        <w:rPr>
          <w:rFonts w:ascii="Times New Roman" w:cs="Times New Roman" w:eastAsia="Times New Roman" w:hAnsi="Times New Roman"/>
          <w:b/>
          <w:bCs/>
          <w:color w:val="1B4332"/>
          <w:sz w:val="28"/>
          <w:szCs w:val="28"/>
        </w:rPr>
        <w:t xml:space="preserve">3-Minute Video Presentation Script</w:t>
      </w:r>
    </w:p>
    <w:p>
      <w:pPr>
        <w:spacing w:after="100" w:before="0" w:line="360"/>
        <w:jc w:val="both"/>
      </w:pPr>
      <w:r>
        <w:rPr>
          <w:rFonts w:ascii="Times New Roman" w:cs="Times New Roman" w:eastAsia="Times New Roman" w:hAnsi="Times New Roman"/>
          <w:sz w:val="22"/>
          <w:szCs w:val="22"/>
        </w:rPr>
        <w:t xml:space="preserve">Required elements covered: student introduction, tool demonstration (dashboard and code), code explanation, insights. Target pace about 150 words per minute. Record the screen with the dashboard (dashboard/ReLoop_Control_Tower.html) and the code editor open in two tabs.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68"/>
        <w:gridCol w:w="2018"/>
        <w:gridCol w:w="5840"/>
      </w:tblGrid>
      <w:tr>
        <w:trPr>
          <w:tblHeader/>
        </w:trPr>
        <w:tc>
          <w:tcPr>
            <w:tcW w:type="dxa" w:w="1168"/>
            <w:tcBorders>
              <w:top w:val="single" w:color="B7C9BE" w:sz="4"/>
              <w:left w:val="single" w:color="B7C9BE" w:sz="4"/>
              <w:bottom w:val="single" w:color="B7C9BE" w:sz="4"/>
              <w:right w:val="single" w:color="B7C9BE" w:sz="4"/>
            </w:tcBorders>
            <w:shd w:fill="1B4332"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b/>
                <w:bCs/>
                <w:color w:val="FFFFFF"/>
                <w:sz w:val="20"/>
                <w:szCs w:val="20"/>
              </w:rPr>
              <w:t xml:space="preserve">Time</w:t>
            </w:r>
          </w:p>
        </w:tc>
        <w:tc>
          <w:tcPr>
            <w:tcW w:type="dxa" w:w="2018"/>
            <w:tcBorders>
              <w:top w:val="single" w:color="B7C9BE" w:sz="4"/>
              <w:left w:val="single" w:color="B7C9BE" w:sz="4"/>
              <w:bottom w:val="single" w:color="B7C9BE" w:sz="4"/>
              <w:right w:val="single" w:color="B7C9BE" w:sz="4"/>
            </w:tcBorders>
            <w:shd w:fill="1B4332"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b/>
                <w:bCs/>
                <w:color w:val="FFFFFF"/>
                <w:sz w:val="20"/>
                <w:szCs w:val="20"/>
              </w:rPr>
              <w:t xml:space="preserve">On screen</w:t>
            </w:r>
          </w:p>
        </w:tc>
        <w:tc>
          <w:tcPr>
            <w:tcW w:type="dxa" w:w="5840"/>
            <w:tcBorders>
              <w:top w:val="single" w:color="B7C9BE" w:sz="4"/>
              <w:left w:val="single" w:color="B7C9BE" w:sz="4"/>
              <w:bottom w:val="single" w:color="B7C9BE" w:sz="4"/>
              <w:right w:val="single" w:color="B7C9BE" w:sz="4"/>
            </w:tcBorders>
            <w:shd w:fill="1B4332"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b/>
                <w:bCs/>
                <w:color w:val="FFFFFF"/>
                <w:sz w:val="20"/>
                <w:szCs w:val="20"/>
              </w:rPr>
              <w:t xml:space="preserve">Voice-over</w:t>
            </w:r>
          </w:p>
        </w:tc>
      </w:tr>
      <w:tr>
        <w:trPr>
          <w:cantSplit/>
        </w:trPr>
        <w:tc>
          <w:tcPr>
            <w:tcW w:type="dxa" w:w="1168"/>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20"/>
                <w:szCs w:val="20"/>
              </w:rPr>
              <w:t xml:space="preserve">0:00-0:20</w:t>
            </w:r>
          </w:p>
        </w:tc>
        <w:tc>
          <w:tcPr>
            <w:tcW w:type="dxa" w:w="2018"/>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20"/>
                <w:szCs w:val="20"/>
              </w:rPr>
              <w:t xml:space="preserve">Face to camera</w:t>
            </w:r>
          </w:p>
        </w:tc>
        <w:tc>
          <w:tcPr>
            <w:tcW w:type="dxa" w:w="584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20"/>
                <w:szCs w:val="20"/>
              </w:rPr>
              <w:t xml:space="preserve">Hi, I am Himanshu Rai, XW013-25, a Senior DevOps Engineer at a BFSI technology centre in Pune. My WAI project is ReLoop: an AI-enabled reverse-logistics network for corporate IT assets and e-waste. One question drove it: why does a laptop retired in Pune travel 1,500 km before anyone decides what it is worth?</w:t>
            </w:r>
          </w:p>
        </w:tc>
      </w:tr>
      <w:tr>
        <w:trPr>
          <w:cantSplit/>
        </w:trPr>
        <w:tc>
          <w:tcPr>
            <w:tcW w:type="dxa" w:w="1168"/>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20"/>
                <w:szCs w:val="20"/>
              </w:rPr>
              <w:t xml:space="preserve">0:20-0:45</w:t>
            </w:r>
          </w:p>
        </w:tc>
        <w:tc>
          <w:tcPr>
            <w:tcW w:type="dxa" w:w="2018"/>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20"/>
                <w:szCs w:val="20"/>
              </w:rPr>
              <w:t xml:space="preserve">Dashboard, chart 1</w:t>
            </w:r>
          </w:p>
        </w:tc>
        <w:tc>
          <w:tcPr>
            <w:tcW w:type="dxa" w:w="5840"/>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20"/>
                <w:szCs w:val="20"/>
              </w:rPr>
              <w:t xml:space="preserve">Everything here is public data: CPCB's registry of 411 recyclers, Parliament replies and TRAI. India has 42 lakh tonnes of licensed recycling capacity but used only 23% of it last year. South and west states use just 18% of theirs, yet their e-waste is trucked north, where UP, Uttarakhand and Haryana do 66% of all processing.</w:t>
            </w:r>
          </w:p>
        </w:tc>
      </w:tr>
      <w:tr>
        <w:trPr>
          <w:cantSplit/>
        </w:trPr>
        <w:tc>
          <w:tcPr>
            <w:tcW w:type="dxa" w:w="1168"/>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20"/>
                <w:szCs w:val="20"/>
              </w:rPr>
              <w:t xml:space="preserve">0:45-1:15</w:t>
            </w:r>
          </w:p>
        </w:tc>
        <w:tc>
          <w:tcPr>
            <w:tcW w:type="dxa" w:w="2018"/>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20"/>
                <w:szCs w:val="20"/>
              </w:rPr>
              <w:t xml:space="preserve">VS Code: run_all.py, then a03 and a04</w:t>
            </w:r>
          </w:p>
        </w:tc>
        <w:tc>
          <w:tcPr>
            <w:tcW w:type="dxa" w:w="584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20"/>
                <w:szCs w:val="20"/>
              </w:rPr>
              <w:t xml:space="preserve">Here is the pipeline. One command reproduces every number, starting from the cleaned CPCB registry. Module three is a Random Forest that grades each returned asset into redeploy, resell, harvest or recycle. I score it in rupees, not just accuracy. Module four is the core: a mixed-integer model in Google OR-Tools that chooses which hubs to open, assigns each city, and sends only the ML-predicted recycle share onward to recyclers.</w:t>
            </w:r>
          </w:p>
        </w:tc>
      </w:tr>
      <w:tr>
        <w:trPr>
          <w:cantSplit/>
        </w:trPr>
        <w:tc>
          <w:tcPr>
            <w:tcW w:type="dxa" w:w="1168"/>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20"/>
                <w:szCs w:val="20"/>
              </w:rPr>
              <w:t xml:space="preserve">1:15-1:50</w:t>
            </w:r>
          </w:p>
        </w:tc>
        <w:tc>
          <w:tcPr>
            <w:tcW w:type="dxa" w:w="2018"/>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20"/>
                <w:szCs w:val="20"/>
              </w:rPr>
              <w:t xml:space="preserve">Dashboard, charts 3 and 4</w:t>
            </w:r>
          </w:p>
        </w:tc>
        <w:tc>
          <w:tcPr>
            <w:tcW w:type="dxa" w:w="5840"/>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20"/>
                <w:szCs w:val="20"/>
              </w:rPr>
              <w:t xml:space="preserve">Results. AI grading recovers 839 rupees more per asset than the common rule of sending anything four years old to the shredder. Three hubs, at Bengaluru, Pune and Gurugram, feeding real registered recyclers in their own regions, cut logistics cost 41%, transport carbon 80% and data-bearing tonne-kilometres 81%. And the decision holds when costs move 30% either way.</w:t>
            </w:r>
          </w:p>
        </w:tc>
      </w:tr>
      <w:tr>
        <w:trPr>
          <w:cantSplit/>
        </w:trPr>
        <w:tc>
          <w:tcPr>
            <w:tcW w:type="dxa" w:w="1168"/>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20"/>
                <w:szCs w:val="20"/>
              </w:rPr>
              <w:t xml:space="preserve">1:50-2:15</w:t>
            </w:r>
          </w:p>
        </w:tc>
        <w:tc>
          <w:tcPr>
            <w:tcW w:type="dxa" w:w="2018"/>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20"/>
                <w:szCs w:val="20"/>
              </w:rPr>
              <w:t xml:space="preserve">Dashboard, chart 5</w:t>
            </w:r>
          </w:p>
        </w:tc>
        <w:tc>
          <w:tcPr>
            <w:tcW w:type="dxa" w:w="584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20"/>
                <w:szCs w:val="20"/>
              </w:rPr>
              <w:t xml:space="preserve">I ran a fuzzy FMEA on ratings from real practitioners. Top risks: leakage to informal channels, return surges during laptop refresh cycles, and in-transit data breach. Interesting part: my earlier AI-simulated panel had ranked refresh surges ninth. Real people ranked them second.</w:t>
            </w:r>
          </w:p>
        </w:tc>
      </w:tr>
      <w:tr>
        <w:trPr>
          <w:cantSplit/>
        </w:trPr>
        <w:tc>
          <w:tcPr>
            <w:tcW w:type="dxa" w:w="1168"/>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20"/>
                <w:szCs w:val="20"/>
              </w:rPr>
              <w:t xml:space="preserve">2:15-2:40</w:t>
            </w:r>
          </w:p>
        </w:tc>
        <w:tc>
          <w:tcPr>
            <w:tcW w:type="dxa" w:w="2018"/>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20"/>
                <w:szCs w:val="20"/>
              </w:rPr>
              <w:t xml:space="preserve">Dashboard, what-if panel (move slider from 50% to 0% and back)</w:t>
            </w:r>
          </w:p>
        </w:tc>
        <w:tc>
          <w:tcPr>
            <w:tcW w:type="dxa" w:w="5840"/>
            <w:tcBorders>
              <w:top w:val="single" w:color="B7C9BE" w:sz="4"/>
              <w:left w:val="single" w:color="B7C9BE" w:sz="4"/>
              <w:bottom w:val="single" w:color="B7C9BE" w:sz="4"/>
              <w:right w:val="single" w:color="B7C9BE" w:sz="4"/>
            </w:tcBorders>
            <w:shd w:fill="EEF5F0" w:color="auto" w:val="clear"/>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20"/>
                <w:szCs w:val="20"/>
              </w:rPr>
              <w:t xml:space="preserve">Now the business case. If I set the AI uplift to zero, the network alone barely pays, with a three-year payback. At just half the modelled uplift, NPV is about 57 crore. So the network is the enabler, but grading intelligence is the business.</w:t>
            </w:r>
          </w:p>
        </w:tc>
      </w:tr>
      <w:tr>
        <w:trPr>
          <w:cantSplit/>
        </w:trPr>
        <w:tc>
          <w:tcPr>
            <w:tcW w:type="dxa" w:w="1168"/>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20"/>
                <w:szCs w:val="20"/>
              </w:rPr>
              <w:t xml:space="preserve">2:40-3:00</w:t>
            </w:r>
          </w:p>
        </w:tc>
        <w:tc>
          <w:tcPr>
            <w:tcW w:type="dxa" w:w="2018"/>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20"/>
                <w:szCs w:val="20"/>
              </w:rPr>
              <w:t xml:space="preserve">Face to camera</w:t>
            </w:r>
          </w:p>
        </w:tc>
        <w:tc>
          <w:tcPr>
            <w:tcW w:type="dxa" w:w="5840"/>
            <w:tcBorders>
              <w:top w:val="single" w:color="B7C9BE" w:sz="4"/>
              <w:left w:val="single" w:color="B7C9BE" w:sz="4"/>
              <w:bottom w:val="single" w:color="B7C9BE" w:sz="4"/>
              <w:right w:val="single" w:color="B7C9BE" w:sz="4"/>
            </w:tcBorders>
            <w:tcMar>
              <w:top w:type="dxa" w:w="50"/>
              <w:left w:type="dxa" w:w="90"/>
              <w:bottom w:type="dxa" w:w="50"/>
              <w:right w:type="dxa" w:w="90"/>
            </w:tcMar>
            <w:vAlign w:val="center"/>
          </w:tcPr>
          <w:p>
            <w:pPr>
              <w:spacing w:line="250"/>
              <w:jc w:val="left"/>
            </w:pPr>
            <w:r>
              <w:rPr>
                <w:rFonts w:ascii="Times New Roman" w:cs="Times New Roman" w:eastAsia="Times New Roman" w:hAnsi="Times New Roman"/>
                <w:color w:val="1F1F1F"/>
                <w:sz w:val="20"/>
                <w:szCs w:val="20"/>
              </w:rPr>
              <w:t xml:space="preserve">My recommendation: move the decision, not the asset. Pilot in Pune, go live only if AI captures a quarter of its modelled value, keep a human override, and disclose synthetic data. AI drafted code and challenged my assumptions; it twice changed my answer. Thank you.</w:t>
            </w:r>
          </w:p>
        </w:tc>
      </w:tr>
    </w:tbl>
    <w:p>
      <w:pPr>
        <w:spacing w:after="100"/>
      </w:pPr>
    </w:p>
    <w:p>
      <w:pPr>
        <w:pStyle w:val="Heading2"/>
        <w:keepNext/>
        <w:spacing w:after="60" w:before="120" w:line="300"/>
      </w:pPr>
      <w:r>
        <w:rPr>
          <w:rFonts w:ascii="Times New Roman" w:cs="Times New Roman" w:eastAsia="Times New Roman" w:hAnsi="Times New Roman"/>
          <w:b/>
          <w:bCs/>
          <w:color w:val="2D6A4F"/>
          <w:sz w:val="24"/>
          <w:szCs w:val="24"/>
        </w:rPr>
        <w:t xml:space="preserve">Recording checklist</w:t>
      </w:r>
    </w:p>
    <w:p>
      <w:pPr>
        <w:spacing w:after="100" w:before="0" w:line="360"/>
        <w:jc w:val="both"/>
      </w:pPr>
      <w:r>
        <w:rPr>
          <w:rFonts w:ascii="Times New Roman" w:cs="Times New Roman" w:eastAsia="Times New Roman" w:hAnsi="Times New Roman"/>
          <w:sz w:val="22"/>
          <w:szCs w:val="22"/>
        </w:rPr>
        <w:t xml:space="preserve">Run python run_all.py once before recording so the terminal shows clean output. Zoom browser to 110%. Keep the face-to-camera segments to 20 seconds each. Export at 1080p, under 3 minutes.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ReLoop | Video script | Himanshu Rai  |  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2026-10-05T11:20:29.002Z</dcterms:created>
  <dcterms:modified xsi:type="dcterms:W3CDTF">2026-10-05T11:20:29.002Z</dcterms:modified>
</cp:coreProperties>
</file>

<file path=docProps/custom.xml><?xml version="1.0" encoding="utf-8"?>
<Properties xmlns="http://schemas.openxmlformats.org/officeDocument/2006/custom-properties" xmlns:vt="http://schemas.openxmlformats.org/officeDocument/2006/docPropsVTypes"/>
</file>