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00"/>
        <w:jc w:val="center"/>
      </w:pPr>
      <w:r>
        <w:rPr>
          <w:rFonts w:ascii="Times New Roman" w:cs="Times New Roman" w:eastAsia="Times New Roman" w:hAnsi="Times New Roman"/>
          <w:b/>
          <w:bCs/>
          <w:color w:val="1B4332"/>
          <w:sz w:val="24"/>
          <w:szCs w:val="24"/>
        </w:rPr>
        <w:t xml:space="preserve">INDIAN INSTITUTE OF MANAGEMENT RANCHI</w:t>
      </w:r>
    </w:p>
    <w:p>
      <w:pPr>
        <w:spacing w:after="900" w:before="0" w:line="300"/>
        <w:jc w:val="center"/>
      </w:pPr>
      <w:r>
        <w:rPr>
          <w:rFonts w:ascii="Times New Roman" w:cs="Times New Roman" w:eastAsia="Times New Roman" w:hAnsi="Times New Roman"/>
          <w:color w:val="1F1F1F"/>
          <w:sz w:val="22"/>
          <w:szCs w:val="22"/>
        </w:rPr>
        <w:t xml:space="preserve">Executive MBA 2025-27  |  Term V  |  Logistics and Warehousing Management</w:t>
      </w:r>
    </w:p>
    <w:p>
      <w:pPr>
        <w:spacing w:after="240" w:before="0" w:line="300"/>
        <w:jc w:val="center"/>
      </w:pPr>
      <w:r>
        <w:rPr>
          <w:rFonts w:ascii="Times New Roman" w:cs="Times New Roman" w:eastAsia="Times New Roman" w:hAnsi="Times New Roman"/>
          <w:i/>
          <w:iCs/>
          <w:color w:val="2D6A4F"/>
          <w:sz w:val="24"/>
          <w:szCs w:val="24"/>
        </w:rPr>
        <w:t xml:space="preserve">Working with AI (WAI) Project Report</w:t>
      </w:r>
    </w:p>
    <w:p>
      <w:pPr>
        <w:spacing w:after="200" w:before="0" w:line="300"/>
        <w:jc w:val="center"/>
      </w:pPr>
      <w:r>
        <w:rPr>
          <w:rFonts w:ascii="Times New Roman" w:cs="Times New Roman" w:eastAsia="Times New Roman" w:hAnsi="Times New Roman"/>
          <w:b/>
          <w:bCs/>
          <w:color w:val="1B4332"/>
          <w:sz w:val="40"/>
          <w:szCs w:val="40"/>
        </w:rPr>
        <w:t xml:space="preserve">ReLoop: Move the Decision, Not the Asset</w:t>
      </w:r>
    </w:p>
    <w:p>
      <w:pPr>
        <w:spacing w:after="40" w:before="0" w:line="300"/>
        <w:jc w:val="center"/>
      </w:pPr>
      <w:r>
        <w:rPr>
          <w:rFonts w:ascii="Times New Roman" w:cs="Times New Roman" w:eastAsia="Times New Roman" w:hAnsi="Times New Roman"/>
          <w:color w:val="1F1F1F"/>
          <w:sz w:val="26"/>
          <w:szCs w:val="26"/>
        </w:rPr>
        <w:t xml:space="preserve">An AI-enabled reverse-logistics network for corporate IT-asset and</w:t>
      </w:r>
    </w:p>
    <w:p>
      <w:pPr>
        <w:spacing w:after="1000" w:before="0" w:line="300"/>
        <w:jc w:val="center"/>
      </w:pPr>
      <w:r>
        <w:rPr>
          <w:rFonts w:ascii="Times New Roman" w:cs="Times New Roman" w:eastAsia="Times New Roman" w:hAnsi="Times New Roman"/>
          <w:color w:val="1F1F1F"/>
          <w:sz w:val="26"/>
          <w:szCs w:val="26"/>
        </w:rPr>
        <w:t xml:space="preserve">e-waste recovery in India</w:t>
      </w:r>
    </w:p>
    <w:p>
      <w:pPr>
        <w:spacing w:after="40" w:before="0" w:line="300"/>
        <w:jc w:val="center"/>
      </w:pPr>
      <w:r>
        <w:rPr>
          <w:rFonts w:ascii="Times New Roman" w:cs="Times New Roman" w:eastAsia="Times New Roman" w:hAnsi="Times New Roman"/>
          <w:color w:val="555555"/>
          <w:sz w:val="22"/>
          <w:szCs w:val="22"/>
        </w:rPr>
        <w:t xml:space="preserve">Submitted to</w:t>
      </w:r>
    </w:p>
    <w:p>
      <w:pPr>
        <w:spacing w:after="400" w:before="0" w:line="300"/>
        <w:jc w:val="center"/>
      </w:pPr>
      <w:r>
        <w:rPr>
          <w:rFonts w:ascii="Times New Roman" w:cs="Times New Roman" w:eastAsia="Times New Roman" w:hAnsi="Times New Roman"/>
          <w:b/>
          <w:bCs/>
          <w:color w:val="1F1F1F"/>
          <w:sz w:val="26"/>
          <w:szCs w:val="26"/>
        </w:rPr>
        <w:t xml:space="preserve">Prof. Krishna Kumar Dadsena</w:t>
      </w:r>
    </w:p>
    <w:p>
      <w:pPr>
        <w:spacing w:after="40" w:before="0" w:line="300"/>
        <w:jc w:val="center"/>
      </w:pPr>
      <w:r>
        <w:rPr>
          <w:rFonts w:ascii="Times New Roman" w:cs="Times New Roman" w:eastAsia="Times New Roman" w:hAnsi="Times New Roman"/>
          <w:color w:val="555555"/>
          <w:sz w:val="22"/>
          <w:szCs w:val="22"/>
        </w:rPr>
        <w:t xml:space="preserve">Submitted by</w:t>
      </w:r>
    </w:p>
    <w:p>
      <w:pPr>
        <w:spacing w:after="40" w:before="0" w:line="300"/>
        <w:jc w:val="center"/>
      </w:pPr>
      <w:r>
        <w:rPr>
          <w:rFonts w:ascii="Times New Roman" w:cs="Times New Roman" w:eastAsia="Times New Roman" w:hAnsi="Times New Roman"/>
          <w:b/>
          <w:bCs/>
          <w:color w:val="1F1F1F"/>
          <w:sz w:val="26"/>
          <w:szCs w:val="26"/>
        </w:rPr>
        <w:t xml:space="preserve">Himanshu Rai</w:t>
      </w:r>
    </w:p>
    <w:p>
      <w:pPr>
        <w:spacing w:after="900" w:before="0" w:line="300"/>
        <w:jc w:val="center"/>
      </w:pPr>
      <w:r>
        <w:rPr>
          <w:rFonts w:ascii="Times New Roman" w:cs="Times New Roman" w:eastAsia="Times New Roman" w:hAnsi="Times New Roman"/>
          <w:color w:val="1F1F1F"/>
          <w:sz w:val="22"/>
          <w:szCs w:val="22"/>
        </w:rPr>
        <w:t xml:space="preserve">Roll No. XW013-25  |  himanshu.raixw25@iimranchi.ac.in</w:t>
      </w:r>
    </w:p>
    <w:p>
      <w:pPr>
        <w:spacing w:after="300" w:before="0" w:line="300"/>
        <w:jc w:val="center"/>
      </w:pPr>
      <w:r>
        <w:rPr>
          <w:rFonts w:ascii="Times New Roman" w:cs="Times New Roman" w:eastAsia="Times New Roman" w:hAnsi="Times New Roman"/>
          <w:color w:val="1F1F1F"/>
          <w:sz w:val="22"/>
          <w:szCs w:val="22"/>
        </w:rPr>
        <w:t xml:space="preserve">Submission date: 20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4F" w:sz="8"/>
              <w:left w:val="single" w:color="2D6A4F" w:sz="8"/>
              <w:bottom w:val="single" w:color="2D6A4F" w:sz="8"/>
              <w:right w:val="single" w:color="2D6A4F" w:sz="8"/>
            </w:tcBorders>
            <w:shd w:fill="EEF5F0" w:color="auto" w:val="clear"/>
            <w:tcMar>
              <w:top w:type="dxa" w:w="120"/>
              <w:left w:type="dxa" w:w="160"/>
              <w:bottom w:type="dxa" w:w="120"/>
              <w:right w:type="dxa" w:w="160"/>
            </w:tcMar>
          </w:tcPr>
          <w:p>
            <w:pPr>
              <w:spacing w:after="60" w:line="300"/>
              <w:jc w:val="both"/>
            </w:pPr>
            <w:r>
              <w:rPr>
                <w:rFonts w:ascii="Times New Roman" w:cs="Times New Roman" w:eastAsia="Times New Roman" w:hAnsi="Times New Roman"/>
                <w:b/>
                <w:bCs/>
                <w:sz w:val="22"/>
                <w:szCs w:val="22"/>
              </w:rPr>
              <w:t xml:space="preserve">AI-use declaration.</w:t>
            </w:r>
            <w:r>
              <w:rPr>
                <w:rFonts w:ascii="Times New Roman" w:cs="Times New Roman" w:eastAsia="Times New Roman" w:hAnsi="Times New Roman"/>
                <w:sz w:val="22"/>
                <w:szCs w:val="22"/>
              </w:rPr>
              <w:t xml:space="preserve"> In line with the WAI guidelines, generative AI (Claude, Anthropic) was used for problem scoping, literature mapping, code drafting and critique, synthetic-data design and a simulated expert panel that was later used only as a benchmark against real practitioner ratings. Every number in this report is produced by the author's reproducible Python code (run_all.py) or a cited public source; every AI output was checked before use. The full Prompt Logbook, code, data and dashboard are submitted alongside this report.</w:t>
            </w:r>
          </w:p>
        </w:tc>
      </w:tr>
    </w:tbl>
    <w:p>
      <w:pPr>
        <w:spacing w:after="100"/>
      </w:pPr>
    </w:p>
    <w:p>
      <w:r>
        <w:br w:type="page"/>
      </w:r>
    </w:p>
    <w:p>
      <w:pPr>
        <w:sectPr>
          <w:pgSz w:w="11906" w:h="16838" w:orient="portrait"/>
          <w:pgMar w:top="1440" w:right="1440" w:bottom="1440" w:left="1440" w:header="708" w:footer="708" w:gutter="0"/>
          <w:pgNumType/>
          <w:docGrid w:linePitch="360"/>
        </w:sectPr>
      </w:pPr>
    </w:p>
    <w:p>
      <w:pPr>
        <w:pStyle w:val="Heading1"/>
        <w:keepNext/>
        <w:spacing w:after="100" w:before="200" w:line="300"/>
      </w:pPr>
      <w:r>
        <w:rPr>
          <w:rFonts w:ascii="Times New Roman" w:cs="Times New Roman" w:eastAsia="Times New Roman" w:hAnsi="Times New Roman"/>
          <w:b/>
          <w:bCs/>
          <w:color w:val="1B4332"/>
          <w:sz w:val="28"/>
          <w:szCs w:val="28"/>
        </w:rPr>
        <w:t xml:space="preserve">Executive Summary</w:t>
      </w:r>
    </w:p>
    <w:p>
      <w:pPr>
        <w:spacing w:after="100" w:before="0" w:line="360"/>
        <w:jc w:val="both"/>
      </w:pPr>
      <w:r>
        <w:rPr>
          <w:rFonts w:ascii="Times New Roman" w:cs="Times New Roman" w:eastAsia="Times New Roman" w:hAnsi="Times New Roman"/>
          <w:sz w:val="24"/>
          <w:szCs w:val="24"/>
        </w:rPr>
        <w:t xml:space="preserve">India generated 13.98 lakh tonnes of e-waste in FY 2024-25 and formally processed 9.88 lakh tonnes. Built entirely on public records (the CPCB recycler registry of 411 authorised units, Parliament replies, PIB releases and TRAI data), this project finds that the binding constraint is </w:t>
      </w:r>
      <w:r>
        <w:rPr>
          <w:rFonts w:ascii="Times New Roman" w:cs="Times New Roman" w:eastAsia="Times New Roman" w:hAnsi="Times New Roman"/>
          <w:b/>
          <w:bCs/>
          <w:sz w:val="24"/>
          <w:szCs w:val="24"/>
        </w:rPr>
        <w:t xml:space="preserve">not recycling capacity</w:t>
      </w:r>
      <w:r>
        <w:rPr>
          <w:rFonts w:ascii="Times New Roman" w:cs="Times New Roman" w:eastAsia="Times New Roman" w:hAnsi="Times New Roman"/>
          <w:sz w:val="24"/>
          <w:szCs w:val="24"/>
        </w:rPr>
        <w:t xml:space="preserve">. Authorised capacity has grown 5.4 times since 2020 to 42.31 lakh tonnes, yet only </w:t>
      </w:r>
      <w:r>
        <w:rPr>
          <w:rFonts w:ascii="Times New Roman" w:cs="Times New Roman" w:eastAsia="Times New Roman" w:hAnsi="Times New Roman"/>
          <w:b/>
          <w:bCs/>
          <w:sz w:val="24"/>
          <w:szCs w:val="24"/>
        </w:rPr>
        <w:t xml:space="preserve">23.4%</w:t>
      </w:r>
      <w:r>
        <w:rPr>
          <w:rFonts w:ascii="Times New Roman" w:cs="Times New Roman" w:eastAsia="Times New Roman" w:hAnsi="Times New Roman"/>
          <w:sz w:val="24"/>
          <w:szCs w:val="24"/>
        </w:rPr>
        <w:t xml:space="preserve"> of it was used in FY25. The problem is where the flow goes: Uttar Pradesh, Uttarakhand and Haryana process 65.9% of all formal e-waste, while the southern and western states that host most BFSI and GCC technology estates generate an estimated 45.9% of it, process 29.5%, and leave 16 lakh tonnes of their own authorised capacity 82% idle.</w:t>
      </w:r>
    </w:p>
    <w:p>
      <w:pPr>
        <w:spacing w:after="100" w:before="0" w:line="360"/>
        <w:jc w:val="both"/>
      </w:pPr>
      <w:r>
        <w:rPr>
          <w:rFonts w:ascii="Times New Roman" w:cs="Times New Roman" w:eastAsia="Times New Roman" w:hAnsi="Times New Roman"/>
          <w:sz w:val="24"/>
          <w:szCs w:val="24"/>
        </w:rPr>
        <w:t xml:space="preserve">For corporate IT assets this means un-wiped, data-bearing laptops and servers travel 1,400 to 2,300 km past idle local recyclers before anyone decides whether they should be redeployed, resold, harvested or shredded. The project asks how a corporate IT-asset-disposition (ITAD) network should be redesigned, and which AI capabilities it needs, to recover more value with less freight, carbon and data risk. It combines (i) real-data diagnostics and a K-means typology of 16 regional e-waste systems, (ii) a two-model volume forecast, (iii) a Random Forest grading engine, (iv) mixed-integer facility location over the </w:t>
      </w:r>
      <w:r>
        <w:rPr>
          <w:rFonts w:ascii="Times New Roman" w:cs="Times New Roman" w:eastAsia="Times New Roman" w:hAnsi="Times New Roman"/>
          <w:b/>
          <w:bCs/>
          <w:sz w:val="24"/>
          <w:szCs w:val="24"/>
        </w:rPr>
        <w:t xml:space="preserve">real CPCB recycler network</w:t>
      </w:r>
      <w:r>
        <w:rPr>
          <w:rFonts w:ascii="Times New Roman" w:cs="Times New Roman" w:eastAsia="Times New Roman" w:hAnsi="Times New Roman"/>
          <w:sz w:val="24"/>
          <w:szCs w:val="24"/>
        </w:rPr>
        <w:t xml:space="preserve"> and vehicle-routing milk-runs (Google OR-Tools), and (v) fuzzy FMEA and NPV analysis.</w:t>
      </w:r>
    </w:p>
    <w:p>
      <w:pPr>
        <w:spacing w:after="100" w:before="0" w:line="360"/>
        <w:jc w:val="both"/>
      </w:pPr>
      <w:r>
        <w:rPr>
          <w:rFonts w:ascii="Times New Roman" w:cs="Times New Roman" w:eastAsia="Times New Roman" w:hAnsi="Times New Roman"/>
          <w:b/>
          <w:bCs/>
          <w:sz w:val="24"/>
          <w:szCs w:val="24"/>
        </w:rPr>
        <w:t xml:space="preserve">Findings.</w:t>
      </w:r>
      <w:r>
        <w:rPr>
          <w:rFonts w:ascii="Times New Roman" w:cs="Times New Roman" w:eastAsia="Times New Roman" w:hAnsi="Times New Roman"/>
          <w:sz w:val="24"/>
          <w:szCs w:val="24"/>
        </w:rPr>
        <w:t xml:space="preserve"> For a 2,400 tonne-per-year portfolio (about 5,16,000 assets), three regional hubs at Bengaluru, Pune and Gurugram, each feeding registered recyclers in its own region, cut annual logistics cost by </w:t>
      </w:r>
      <w:r>
        <w:rPr>
          <w:rFonts w:ascii="Times New Roman" w:cs="Times New Roman" w:eastAsia="Times New Roman" w:hAnsi="Times New Roman"/>
          <w:b/>
          <w:bCs/>
          <w:sz w:val="24"/>
          <w:szCs w:val="24"/>
        </w:rPr>
        <w:t xml:space="preserve">40.7%</w:t>
      </w:r>
      <w:r>
        <w:rPr>
          <w:rFonts w:ascii="Times New Roman" w:cs="Times New Roman" w:eastAsia="Times New Roman" w:hAnsi="Times New Roman"/>
          <w:sz w:val="24"/>
          <w:szCs w:val="24"/>
        </w:rPr>
        <w:t xml:space="preserve"> (Rs 7.41 Cr to Rs 4.39 Cr), transport CO2e by </w:t>
      </w:r>
      <w:r>
        <w:rPr>
          <w:rFonts w:ascii="Times New Roman" w:cs="Times New Roman" w:eastAsia="Times New Roman" w:hAnsi="Times New Roman"/>
          <w:b/>
          <w:bCs/>
          <w:sz w:val="24"/>
          <w:szCs w:val="24"/>
        </w:rPr>
        <w:t xml:space="preserve">80.1%</w:t>
      </w:r>
      <w:r>
        <w:rPr>
          <w:rFonts w:ascii="Times New Roman" w:cs="Times New Roman" w:eastAsia="Times New Roman" w:hAnsi="Times New Roman"/>
          <w:sz w:val="24"/>
          <w:szCs w:val="24"/>
        </w:rPr>
        <w:t xml:space="preserve"> and data-bearing tonne-km by </w:t>
      </w:r>
      <w:r>
        <w:rPr>
          <w:rFonts w:ascii="Times New Roman" w:cs="Times New Roman" w:eastAsia="Times New Roman" w:hAnsi="Times New Roman"/>
          <w:b/>
          <w:bCs/>
          <w:sz w:val="24"/>
          <w:szCs w:val="24"/>
        </w:rPr>
        <w:t xml:space="preserve">80.8%</w:t>
      </w:r>
      <w:r>
        <w:rPr>
          <w:rFonts w:ascii="Times New Roman" w:cs="Times New Roman" w:eastAsia="Times New Roman" w:hAnsi="Times New Roman"/>
          <w:sz w:val="24"/>
          <w:szCs w:val="24"/>
        </w:rPr>
        <w:t xml:space="preserve">; the design holds under plus or minus 30% cost shocks. AI grading lifts value recovered per asset by </w:t>
      </w:r>
      <w:r>
        <w:rPr>
          <w:rFonts w:ascii="Times New Roman" w:cs="Times New Roman" w:eastAsia="Times New Roman" w:hAnsi="Times New Roman"/>
          <w:b/>
          <w:bCs/>
          <w:sz w:val="24"/>
          <w:szCs w:val="24"/>
        </w:rPr>
        <w:t xml:space="preserve">Rs 839</w:t>
      </w:r>
      <w:r>
        <w:rPr>
          <w:rFonts w:ascii="Times New Roman" w:cs="Times New Roman" w:eastAsia="Times New Roman" w:hAnsi="Times New Roman"/>
          <w:sz w:val="24"/>
          <w:szCs w:val="24"/>
        </w:rPr>
        <w:t xml:space="preserve"> (+15.2%) over the common rule of sending everything past refresh age to the recycler. Network redesign alone barely pays (NPV Rs 1.54 Cr), but with only half the modelled grading uplift the programme returns a five-year NPV of </w:t>
      </w:r>
      <w:r>
        <w:rPr>
          <w:rFonts w:ascii="Times New Roman" w:cs="Times New Roman" w:eastAsia="Times New Roman" w:hAnsi="Times New Roman"/>
          <w:b/>
          <w:bCs/>
          <w:sz w:val="24"/>
          <w:szCs w:val="24"/>
        </w:rPr>
        <w:t xml:space="preserve">Rs 56.6 Cr</w:t>
      </w:r>
      <w:r>
        <w:rPr>
          <w:rFonts w:ascii="Times New Roman" w:cs="Times New Roman" w:eastAsia="Times New Roman" w:hAnsi="Times New Roman"/>
          <w:sz w:val="24"/>
          <w:szCs w:val="24"/>
        </w:rPr>
        <w:t xml:space="preserve"> on Rs 5.11 Cr of capex. A fuzzy FMEA rated by practitioners ranks leakage to informal channels, refresh-cycle return surges and in-transit data breach as the top risks.</w:t>
      </w:r>
    </w:p>
    <w:p>
      <w:pPr>
        <w:spacing w:after="100" w:before="0" w:line="360"/>
        <w:jc w:val="both"/>
      </w:pPr>
      <w:r>
        <w:rPr>
          <w:rFonts w:ascii="Times New Roman" w:cs="Times New Roman" w:eastAsia="Times New Roman" w:hAnsi="Times New Roman"/>
          <w:b/>
          <w:bCs/>
          <w:sz w:val="24"/>
          <w:szCs w:val="24"/>
        </w:rPr>
        <w:t xml:space="preserve">Recommendation.</w:t>
      </w:r>
      <w:r>
        <w:rPr>
          <w:rFonts w:ascii="Times New Roman" w:cs="Times New Roman" w:eastAsia="Times New Roman" w:hAnsi="Times New Roman"/>
          <w:sz w:val="24"/>
          <w:szCs w:val="24"/>
        </w:rPr>
        <w:t xml:space="preserve"> Move the decision, not the asset: grade and sanitise within about 300 km of the source, contract the under-used registered recyclers already in each region, and roll out in 15 stage-gated months starting with a Pune pilot.</w:t>
      </w:r>
    </w:p>
    <w:p>
      <w:r>
        <w:br w:type="page"/>
      </w:r>
    </w:p>
    <w:p>
      <w:pPr>
        <w:pStyle w:val="Heading1"/>
        <w:keepNext/>
        <w:spacing w:after="100" w:before="200" w:line="300"/>
      </w:pPr>
      <w:r>
        <w:rPr>
          <w:rFonts w:ascii="Times New Roman" w:cs="Times New Roman" w:eastAsia="Times New Roman" w:hAnsi="Times New Roman"/>
          <w:b/>
          <w:bCs/>
          <w:color w:val="1B4332"/>
          <w:sz w:val="28"/>
          <w:szCs w:val="28"/>
        </w:rPr>
        <w:t xml:space="preserve">1. Problem Identification</w:t>
      </w:r>
    </w:p>
    <w:p>
      <w:pPr>
        <w:pStyle w:val="Heading2"/>
        <w:keepNext/>
        <w:spacing w:after="60" w:before="120" w:line="300"/>
      </w:pPr>
      <w:r>
        <w:rPr>
          <w:rFonts w:ascii="Times New Roman" w:cs="Times New Roman" w:eastAsia="Times New Roman" w:hAnsi="Times New Roman"/>
          <w:b/>
          <w:bCs/>
          <w:color w:val="2D6A4F"/>
          <w:sz w:val="24"/>
          <w:szCs w:val="24"/>
        </w:rPr>
        <w:t xml:space="preserve">1.1 Background and context</w:t>
      </w:r>
    </w:p>
    <w:p>
      <w:pPr>
        <w:spacing w:after="100" w:before="0" w:line="360"/>
        <w:jc w:val="both"/>
      </w:pPr>
      <w:r>
        <w:rPr>
          <w:rFonts w:ascii="Times New Roman" w:cs="Times New Roman" w:eastAsia="Times New Roman" w:hAnsi="Times New Roman"/>
          <w:sz w:val="24"/>
          <w:szCs w:val="24"/>
        </w:rPr>
        <w:t xml:space="preserve">India is the world's third-largest generator of e-waste (Balde et al., 2024). CPCB estimates rose from 7.08 lakh tonnes in FY 2017-18 to 13.98 lakh tonnes in FY 2024-25. The E-Waste (Management) Rules, 2022, in force since April 2023, replaced collection targets with Extended Producer Responsibility (EPR) recycling targets of 60% (FY24-25), 70% (FY26-27) and 80% from FY28, traded through EPR certificates (MoEFCC, 2022). Formal capacity has responded strongly: the CPCB registry now lists 411 authorised recyclers with 42.31 lakh tonnes of annual capacity, up from 312 units and 7.8 lakh tonnes in 2020 (Lok Sabha, 2020).</w:t>
      </w:r>
    </w:p>
    <w:p>
      <w:pPr>
        <w:spacing w:after="100" w:before="0" w:line="360"/>
        <w:jc w:val="both"/>
      </w:pPr>
      <w:r>
        <w:rPr>
          <w:rFonts w:ascii="Times New Roman" w:cs="Times New Roman" w:eastAsia="Times New Roman" w:hAnsi="Times New Roman"/>
          <w:sz w:val="24"/>
          <w:szCs w:val="24"/>
        </w:rPr>
        <w:t xml:space="preserve">Corporate IT is a distinct stream inside this market. Unlike household e-waste it is </w:t>
      </w:r>
      <w:r>
        <w:rPr>
          <w:rFonts w:ascii="Times New Roman" w:cs="Times New Roman" w:eastAsia="Times New Roman" w:hAnsi="Times New Roman"/>
          <w:b/>
          <w:bCs/>
          <w:sz w:val="24"/>
          <w:szCs w:val="24"/>
        </w:rPr>
        <w:t xml:space="preserve">data-bearing</w:t>
      </w:r>
      <w:r>
        <w:rPr>
          <w:rFonts w:ascii="Times New Roman" w:cs="Times New Roman" w:eastAsia="Times New Roman" w:hAnsi="Times New Roman"/>
          <w:sz w:val="24"/>
          <w:szCs w:val="24"/>
        </w:rPr>
        <w:t xml:space="preserve"> (governed by NIST SP 800-88 sanitisation practice and India's Digital Personal Data Protection Act, 2023), </w:t>
      </w:r>
      <w:r>
        <w:rPr>
          <w:rFonts w:ascii="Times New Roman" w:cs="Times New Roman" w:eastAsia="Times New Roman" w:hAnsi="Times New Roman"/>
          <w:b/>
          <w:bCs/>
          <w:sz w:val="24"/>
          <w:szCs w:val="24"/>
        </w:rPr>
        <w:t xml:space="preserve">value-bearing</w:t>
      </w:r>
      <w:r>
        <w:rPr>
          <w:rFonts w:ascii="Times New Roman" w:cs="Times New Roman" w:eastAsia="Times New Roman" w:hAnsi="Times New Roman"/>
          <w:sz w:val="24"/>
          <w:szCs w:val="24"/>
        </w:rPr>
        <w:t xml:space="preserve"> (enterprise laptops and servers are often reusable), and </w:t>
      </w:r>
      <w:r>
        <w:rPr>
          <w:rFonts w:ascii="Times New Roman" w:cs="Times New Roman" w:eastAsia="Times New Roman" w:hAnsi="Times New Roman"/>
          <w:b/>
          <w:bCs/>
          <w:sz w:val="24"/>
          <w:szCs w:val="24"/>
        </w:rPr>
        <w:t xml:space="preserve">predictable</w:t>
      </w:r>
      <w:r>
        <w:rPr>
          <w:rFonts w:ascii="Times New Roman" w:cs="Times New Roman" w:eastAsia="Times New Roman" w:hAnsi="Times New Roman"/>
          <w:sz w:val="24"/>
          <w:szCs w:val="24"/>
        </w:rPr>
        <w:t xml:space="preserve">, because it arrives in waves driven by three-to-five-year refresh cycles in BFSI and GCC estates clustered in Bengaluru, Hyderabad, Pune, Chennai, Mumbai and the NCR.</w:t>
      </w:r>
    </w:p>
    <w:p>
      <w:pPr>
        <w:pStyle w:val="Heading2"/>
        <w:keepNext/>
        <w:spacing w:after="60" w:before="120" w:line="300"/>
      </w:pPr>
      <w:r>
        <w:rPr>
          <w:rFonts w:ascii="Times New Roman" w:cs="Times New Roman" w:eastAsia="Times New Roman" w:hAnsi="Times New Roman"/>
          <w:b/>
          <w:bCs/>
          <w:color w:val="2D6A4F"/>
          <w:sz w:val="24"/>
          <w:szCs w:val="24"/>
        </w:rPr>
        <w:t xml:space="preserve">1.2 The core problem</w:t>
      </w:r>
    </w:p>
    <w:p>
      <w:pPr>
        <w:spacing w:after="100" w:before="0" w:line="360"/>
        <w:jc w:val="both"/>
      </w:pPr>
      <w:r>
        <w:rPr>
          <w:rFonts w:ascii="Times New Roman" w:cs="Times New Roman" w:eastAsia="Times New Roman" w:hAnsi="Times New Roman"/>
          <w:sz w:val="24"/>
          <w:szCs w:val="24"/>
        </w:rPr>
        <w:t xml:space="preserve">The prevailing practice is a single national ITAD vendor. Client sites pack retired assets and ship them, un-graded and un-wiped, by part-load truck to the vendor's central facility, typically in the northern belt where processing capacity sits. Only there is the asset graded. This sequence creates three linked costs: (a) long-haul freight and carbon on low-density cargo; (b) data exposure on every kilometre travelled before sanitisation; and (c) value decay, because returned electronics lose value with time and conservative rules ("age four years or more goes to the recycler") destroy reusable value (Blackburn et al., 2004).</w:t>
      </w:r>
    </w:p>
    <w:p>
      <w:pPr>
        <w:pStyle w:val="Heading2"/>
        <w:keepNext/>
        <w:spacing w:after="60" w:before="120" w:line="300"/>
      </w:pPr>
      <w:r>
        <w:rPr>
          <w:rFonts w:ascii="Times New Roman" w:cs="Times New Roman" w:eastAsia="Times New Roman" w:hAnsi="Times New Roman"/>
          <w:b/>
          <w:bCs/>
          <w:color w:val="2D6A4F"/>
          <w:sz w:val="24"/>
          <w:szCs w:val="24"/>
        </w:rPr>
        <w:t xml:space="preserve">1.3 Evidence</w:t>
      </w:r>
    </w:p>
    <w:p>
      <w:pPr>
        <w:keepNext/>
        <w:spacing w:after="50" w:before="100"/>
      </w:pPr>
      <w:r>
        <w:rPr>
          <w:rFonts w:ascii="Times New Roman" w:cs="Times New Roman" w:eastAsia="Times New Roman" w:hAnsi="Times New Roman"/>
          <w:b/>
          <w:bCs/>
          <w:color w:val="1B4332"/>
          <w:sz w:val="20"/>
          <w:szCs w:val="20"/>
        </w:rPr>
        <w:t xml:space="preserve">Table 1. Evidence that the problem exists (author's analysis of public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8"/>
        <w:gridCol w:w="2042"/>
        <w:gridCol w:w="3546"/>
      </w:tblGrid>
      <w:tr>
        <w:trPr>
          <w:tblHeader/>
        </w:trPr>
        <w:tc>
          <w:tcPr>
            <w:tcW w:type="dxa" w:w="3438"/>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Indicator (real public data)</w:t>
            </w:r>
          </w:p>
        </w:tc>
        <w:tc>
          <w:tcPr>
            <w:tcW w:type="dxa" w:w="2042"/>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Value</w:t>
            </w:r>
          </w:p>
        </w:tc>
        <w:tc>
          <w:tcPr>
            <w:tcW w:type="dxa" w:w="3546"/>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Implication</w:t>
            </w:r>
          </w:p>
        </w:tc>
      </w:tr>
      <w:tr>
        <w:trPr>
          <w:cantSplit/>
        </w:trPr>
        <w:tc>
          <w:tcPr>
            <w:tcW w:type="dxa" w:w="343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Authorised recycling capacity: 2020 / 2021 / Aug 2026</w:t>
            </w:r>
          </w:p>
        </w:tc>
        <w:tc>
          <w:tcPr>
            <w:tcW w:type="dxa" w:w="204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7.82 / 13.86 / 42.31 lakh t</w:t>
            </w:r>
          </w:p>
        </w:tc>
        <w:tc>
          <w:tcPr>
            <w:tcW w:type="dxa" w:w="3546"/>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Capacity grew 5.4x; 411 registered recyclers</w:t>
            </w:r>
          </w:p>
        </w:tc>
      </w:tr>
      <w:tr>
        <w:trPr>
          <w:cantSplit/>
        </w:trPr>
        <w:tc>
          <w:tcPr>
            <w:tcW w:type="dxa" w:w="343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National capacity utilisation, FY25</w:t>
            </w:r>
          </w:p>
        </w:tc>
        <w:tc>
          <w:tcPr>
            <w:tcW w:type="dxa" w:w="204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23.4%</w:t>
            </w:r>
          </w:p>
        </w:tc>
        <w:tc>
          <w:tcPr>
            <w:tcW w:type="dxa" w:w="3546"/>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Capacity is not the bottleneck; feedstock and routing are</w:t>
            </w:r>
          </w:p>
        </w:tc>
      </w:tr>
      <w:tr>
        <w:trPr>
          <w:cantSplit/>
        </w:trPr>
        <w:tc>
          <w:tcPr>
            <w:tcW w:type="dxa" w:w="343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Share of processing in UP + Uttarakhand + Haryana</w:t>
            </w:r>
          </w:p>
        </w:tc>
        <w:tc>
          <w:tcPr>
            <w:tcW w:type="dxa" w:w="204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65.9%</w:t>
            </w:r>
          </w:p>
        </w:tc>
        <w:tc>
          <w:tcPr>
            <w:tcW w:type="dxa" w:w="3546"/>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They hold 53.4% of capacity but process far more than they generate</w:t>
            </w:r>
          </w:p>
        </w:tc>
      </w:tr>
      <w:tr>
        <w:trPr>
          <w:cantSplit/>
        </w:trPr>
        <w:tc>
          <w:tcPr>
            <w:tcW w:type="dxa" w:w="343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South/west states: capacity and its utilisation</w:t>
            </w:r>
          </w:p>
        </w:tc>
        <w:tc>
          <w:tcPr>
            <w:tcW w:type="dxa" w:w="204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16 lakh t; 18.2% used</w:t>
            </w:r>
          </w:p>
        </w:tc>
        <w:tc>
          <w:tcPr>
            <w:tcW w:type="dxa" w:w="3546"/>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Licensed capacity exists close to the IT estates and sits idle</w:t>
            </w:r>
          </w:p>
        </w:tc>
      </w:tr>
      <w:tr>
        <w:trPr>
          <w:cantSplit/>
        </w:trPr>
        <w:tc>
          <w:tcPr>
            <w:tcW w:type="dxa" w:w="343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Mismatch index: Maharashtra / Karnataka / Tamil Nadu</w:t>
            </w:r>
          </w:p>
        </w:tc>
        <w:tc>
          <w:tcPr>
            <w:tcW w:type="dxa" w:w="204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0.41 / 0.23 / 0.21</w:t>
            </w:r>
          </w:p>
        </w:tc>
        <w:tc>
          <w:tcPr>
            <w:tcW w:type="dxa" w:w="3546"/>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Large net exporters of e-waste (index &lt; 1)</w:t>
            </w:r>
          </w:p>
        </w:tc>
      </w:tr>
      <w:tr>
        <w:trPr>
          <w:cantSplit/>
        </w:trPr>
        <w:tc>
          <w:tcPr>
            <w:tcW w:type="dxa" w:w="343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Ten districts' share of national capacity</w:t>
            </w:r>
          </w:p>
        </w:tc>
        <w:tc>
          <w:tcPr>
            <w:tcW w:type="dxa" w:w="204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47.6%</w:t>
            </w:r>
          </w:p>
        </w:tc>
        <w:tc>
          <w:tcPr>
            <w:tcW w:type="dxa" w:w="3546"/>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Led by Meerut, Haridwar, Bulandshahr</w:t>
            </w:r>
          </w:p>
        </w:tc>
      </w:tr>
    </w:tbl>
    <w:p>
      <w:pPr>
        <w:spacing w:after="140" w:before="30" w:line="250"/>
      </w:pPr>
      <w:r>
        <w:rPr>
          <w:rFonts w:ascii="Times New Roman" w:cs="Times New Roman" w:eastAsia="Times New Roman" w:hAnsi="Times New Roman"/>
          <w:i/>
          <w:iCs/>
          <w:color w:val="555555"/>
          <w:sz w:val="17"/>
          <w:szCs w:val="17"/>
        </w:rPr>
        <w:t xml:space="preserve">Sources: CPCB EPR-portal recycler registry (Aug 2026); Lok Sabha USQ 983 (2020) and 2458 (2021); PIB release 2147876 (2025); TRAI via Jharkhand Economic Survey 2025-26; Census 2011. Mismatch index = processing share / generation share.</w:t>
      </w:r>
    </w:p>
    <w:p>
      <w:pPr>
        <w:pStyle w:val="Heading2"/>
        <w:keepNext/>
        <w:spacing w:after="60" w:before="120" w:line="300"/>
      </w:pPr>
      <w:r>
        <w:rPr>
          <w:rFonts w:ascii="Times New Roman" w:cs="Times New Roman" w:eastAsia="Times New Roman" w:hAnsi="Times New Roman"/>
          <w:b/>
          <w:bCs/>
          <w:color w:val="2D6A4F"/>
          <w:sz w:val="24"/>
          <w:szCs w:val="24"/>
        </w:rPr>
        <w:t xml:space="preserve">1.4 Why AI is necessary</w:t>
      </w:r>
    </w:p>
    <w:p>
      <w:pPr>
        <w:spacing w:after="100" w:before="0" w:line="360"/>
        <w:jc w:val="both"/>
      </w:pPr>
      <w:r>
        <w:rPr>
          <w:rFonts w:ascii="Times New Roman" w:cs="Times New Roman" w:eastAsia="Times New Roman" w:hAnsi="Times New Roman"/>
          <w:sz w:val="24"/>
          <w:szCs w:val="24"/>
        </w:rPr>
        <w:t xml:space="preserve">Spreadsheet rules cannot grade half a million heterogeneous assets a year, and single-vendor contracts ignore geography. The problem decomposes into tasks where AI and analytics add specific value: multi-attribute </w:t>
      </w:r>
      <w:r>
        <w:rPr>
          <w:rFonts w:ascii="Times New Roman" w:cs="Times New Roman" w:eastAsia="Times New Roman" w:hAnsi="Times New Roman"/>
          <w:b/>
          <w:bCs/>
          <w:sz w:val="24"/>
          <w:szCs w:val="24"/>
        </w:rPr>
        <w:t xml:space="preserve">classification</w:t>
      </w:r>
      <w:r>
        <w:rPr>
          <w:rFonts w:ascii="Times New Roman" w:cs="Times New Roman" w:eastAsia="Times New Roman" w:hAnsi="Times New Roman"/>
          <w:sz w:val="24"/>
          <w:szCs w:val="24"/>
        </w:rPr>
        <w:t xml:space="preserve"> of each asset's best disposition (machine learning); </w:t>
      </w:r>
      <w:r>
        <w:rPr>
          <w:rFonts w:ascii="Times New Roman" w:cs="Times New Roman" w:eastAsia="Times New Roman" w:hAnsi="Times New Roman"/>
          <w:b/>
          <w:bCs/>
          <w:sz w:val="24"/>
          <w:szCs w:val="24"/>
        </w:rPr>
        <w:t xml:space="preserve">unsupervised clustering</w:t>
      </w:r>
      <w:r>
        <w:rPr>
          <w:rFonts w:ascii="Times New Roman" w:cs="Times New Roman" w:eastAsia="Times New Roman" w:hAnsi="Times New Roman"/>
          <w:sz w:val="24"/>
          <w:szCs w:val="24"/>
        </w:rPr>
        <w:t xml:space="preserve"> of client sites into service regions; </w:t>
      </w:r>
      <w:r>
        <w:rPr>
          <w:rFonts w:ascii="Times New Roman" w:cs="Times New Roman" w:eastAsia="Times New Roman" w:hAnsi="Times New Roman"/>
          <w:b/>
          <w:bCs/>
          <w:sz w:val="24"/>
          <w:szCs w:val="24"/>
        </w:rPr>
        <w:t xml:space="preserve">combinatorial optimisation</w:t>
      </w:r>
      <w:r>
        <w:rPr>
          <w:rFonts w:ascii="Times New Roman" w:cs="Times New Roman" w:eastAsia="Times New Roman" w:hAnsi="Times New Roman"/>
          <w:sz w:val="24"/>
          <w:szCs w:val="24"/>
        </w:rPr>
        <w:t xml:space="preserve"> of hub location and routing (mixed-integer programming, vehicle routing); </w:t>
      </w:r>
      <w:r>
        <w:rPr>
          <w:rFonts w:ascii="Times New Roman" w:cs="Times New Roman" w:eastAsia="Times New Roman" w:hAnsi="Times New Roman"/>
          <w:b/>
          <w:bCs/>
          <w:sz w:val="24"/>
          <w:szCs w:val="24"/>
        </w:rPr>
        <w:t xml:space="preserve">forecasting</w:t>
      </w:r>
      <w:r>
        <w:rPr>
          <w:rFonts w:ascii="Times New Roman" w:cs="Times New Roman" w:eastAsia="Times New Roman" w:hAnsi="Times New Roman"/>
          <w:sz w:val="24"/>
          <w:szCs w:val="24"/>
        </w:rPr>
        <w:t xml:space="preserve"> under a regulatory regime change; </w:t>
      </w:r>
      <w:r>
        <w:rPr>
          <w:rFonts w:ascii="Times New Roman" w:cs="Times New Roman" w:eastAsia="Times New Roman" w:hAnsi="Times New Roman"/>
          <w:b/>
          <w:bCs/>
          <w:sz w:val="24"/>
          <w:szCs w:val="24"/>
        </w:rPr>
        <w:t xml:space="preserve">risk rating</w:t>
      </w:r>
      <w:r>
        <w:rPr>
          <w:rFonts w:ascii="Times New Roman" w:cs="Times New Roman" w:eastAsia="Times New Roman" w:hAnsi="Times New Roman"/>
          <w:sz w:val="24"/>
          <w:szCs w:val="24"/>
        </w:rPr>
        <w:t xml:space="preserve"> under linguistic expert uncertainty (fuzzy logic); and generative AI to accelerate scoping, coding and critical review.</w:t>
      </w:r>
    </w:p>
    <w:p>
      <w:pPr>
        <w:pStyle w:val="Heading2"/>
        <w:keepNext/>
        <w:spacing w:after="60" w:before="120" w:line="300"/>
      </w:pPr>
      <w:r>
        <w:rPr>
          <w:rFonts w:ascii="Times New Roman" w:cs="Times New Roman" w:eastAsia="Times New Roman" w:hAnsi="Times New Roman"/>
          <w:b/>
          <w:bCs/>
          <w:color w:val="2D6A4F"/>
          <w:sz w:val="24"/>
          <w:szCs w:val="24"/>
        </w:rPr>
        <w:t xml:space="preserve">1.5 Stakeholders, scope and managerial significance</w:t>
      </w:r>
    </w:p>
    <w:p>
      <w:pPr>
        <w:spacing w:after="100" w:before="0" w:line="360"/>
        <w:jc w:val="both"/>
      </w:pPr>
      <w:r>
        <w:rPr>
          <w:rFonts w:ascii="Times New Roman" w:cs="Times New Roman" w:eastAsia="Times New Roman" w:hAnsi="Times New Roman"/>
          <w:b/>
          <w:bCs/>
          <w:sz w:val="24"/>
          <w:szCs w:val="24"/>
        </w:rPr>
        <w:t xml:space="preserve">Stakeholders.</w:t>
      </w:r>
      <w:r>
        <w:rPr>
          <w:rFonts w:ascii="Times New Roman" w:cs="Times New Roman" w:eastAsia="Times New Roman" w:hAnsi="Times New Roman"/>
          <w:sz w:val="24"/>
          <w:szCs w:val="24"/>
        </w:rPr>
        <w:t xml:space="preserve"> The CIO and CISO own data-breach exposure and destruction evidence; the CFO and procurement own recovered value and vendor cost; ESG teams own Scope 3 transport emissions and BRSR disclosures; ITAD 3PLs, refurbishers and recyclers depend on feedstock volume and quality; producers need traceable recycling to earn EPR certificates under CPCB and SPCB oversight; and informal workers and communities bear the health cost of leakage to unsafe channels.</w:t>
      </w:r>
    </w:p>
    <w:p>
      <w:pPr>
        <w:spacing w:after="100" w:before="0" w:line="360"/>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Corporate IT assets (laptops, desktops, monitors, servers, network equipment and mobiles) from BFSI and GCC clients in 12 Indian cities, FY26 to FY30. </w:t>
      </w: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household e-waste, metallurgical recovery processes, solar panels and cross-border shipments. </w:t>
      </w:r>
      <w:r>
        <w:rPr>
          <w:rFonts w:ascii="Times New Roman" w:cs="Times New Roman" w:eastAsia="Times New Roman" w:hAnsi="Times New Roman"/>
          <w:b/>
          <w:bCs/>
          <w:sz w:val="24"/>
          <w:szCs w:val="24"/>
        </w:rPr>
        <w:t xml:space="preserve">Constraint:</w:t>
      </w:r>
      <w:r>
        <w:rPr>
          <w:rFonts w:ascii="Times New Roman" w:cs="Times New Roman" w:eastAsia="Times New Roman" w:hAnsi="Times New Roman"/>
          <w:sz w:val="24"/>
          <w:szCs w:val="24"/>
        </w:rPr>
        <w:t xml:space="preserve"> enterprise asset registers are confidential, so asset-level data is synthetic and disclosed. </w:t>
      </w:r>
      <w:r>
        <w:rPr>
          <w:rFonts w:ascii="Times New Roman" w:cs="Times New Roman" w:eastAsia="Times New Roman" w:hAnsi="Times New Roman"/>
          <w:b/>
          <w:bCs/>
          <w:sz w:val="24"/>
          <w:szCs w:val="24"/>
        </w:rPr>
        <w:t xml:space="preserve">Significance:</w:t>
      </w:r>
      <w:r>
        <w:rPr>
          <w:rFonts w:ascii="Times New Roman" w:cs="Times New Roman" w:eastAsia="Times New Roman" w:hAnsi="Times New Roman"/>
          <w:sz w:val="24"/>
          <w:szCs w:val="24"/>
        </w:rPr>
        <w:t xml:space="preserve"> the problem touches cost (freight), revenue (resale value), risk (data, compliance) and ESG (carbon, circularity) at once, which is why it belongs on a COO's agenda rather than a facilities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4F" w:sz="8"/>
              <w:left w:val="single" w:color="2D6A4F" w:sz="8"/>
              <w:bottom w:val="single" w:color="2D6A4F" w:sz="8"/>
              <w:right w:val="single" w:color="2D6A4F" w:sz="8"/>
            </w:tcBorders>
            <w:shd w:fill="EEF5F0" w:color="auto" w:val="clear"/>
            <w:tcMar>
              <w:top w:type="dxa" w:w="120"/>
              <w:left w:type="dxa" w:w="160"/>
              <w:bottom w:type="dxa" w:w="120"/>
              <w:right w:type="dxa" w:w="160"/>
            </w:tcMar>
          </w:tcPr>
          <w:p>
            <w:pPr>
              <w:spacing w:after="60" w:line="300"/>
              <w:jc w:val="both"/>
            </w:pPr>
            <w:r>
              <w:rPr>
                <w:rFonts w:ascii="Times New Roman" w:cs="Times New Roman" w:eastAsia="Times New Roman" w:hAnsi="Times New Roman"/>
                <w:b/>
                <w:bCs/>
                <w:sz w:val="22"/>
                <w:szCs w:val="22"/>
              </w:rPr>
              <w:t xml:space="preserve">Problem statement.</w:t>
            </w:r>
            <w:r>
              <w:rPr>
                <w:rFonts w:ascii="Times New Roman" w:cs="Times New Roman" w:eastAsia="Times New Roman" w:hAnsi="Times New Roman"/>
                <w:sz w:val="22"/>
                <w:szCs w:val="22"/>
              </w:rPr>
              <w:t xml:space="preserve"> Corporate e-waste in India is moved before it is understood: un-graded, data-bearing IT assets travel up to 2,300 km to centralised processors, past idle licensed capacity near their source, inflating freight, carbon and data risk while rule-based disposal destroys reusable value. This project uses AI-based grading, network optimisation and fuzzy risk analysis to design a regional "grade-then-route" ITAD network and quantify its value.</w:t>
            </w:r>
          </w:p>
        </w:tc>
      </w:tr>
    </w:tbl>
    <w:p>
      <w:pPr>
        <w:spacing w:after="100"/>
      </w:pPr>
    </w:p>
    <w:p>
      <w:pPr>
        <w:pStyle w:val="Heading1"/>
        <w:keepNext/>
        <w:spacing w:after="100" w:before="200" w:line="300"/>
      </w:pPr>
      <w:r>
        <w:rPr>
          <w:rFonts w:ascii="Times New Roman" w:cs="Times New Roman" w:eastAsia="Times New Roman" w:hAnsi="Times New Roman"/>
          <w:b/>
          <w:bCs/>
          <w:color w:val="1B4332"/>
          <w:sz w:val="28"/>
          <w:szCs w:val="28"/>
        </w:rPr>
        <w:t xml:space="preserve">2. Literature Review</w:t>
      </w:r>
    </w:p>
    <w:p>
      <w:pPr>
        <w:spacing w:after="100" w:before="0" w:line="360"/>
        <w:jc w:val="both"/>
      </w:pPr>
      <w:r>
        <w:rPr>
          <w:rFonts w:ascii="Times New Roman" w:cs="Times New Roman" w:eastAsia="Times New Roman" w:hAnsi="Times New Roman"/>
          <w:b/>
          <w:bCs/>
          <w:sz w:val="24"/>
          <w:szCs w:val="24"/>
        </w:rPr>
        <w:t xml:space="preserve">Reverse logistics foundations.</w:t>
      </w:r>
      <w:r>
        <w:rPr>
          <w:rFonts w:ascii="Times New Roman" w:cs="Times New Roman" w:eastAsia="Times New Roman" w:hAnsi="Times New Roman"/>
          <w:sz w:val="24"/>
          <w:szCs w:val="24"/>
        </w:rPr>
        <w:t xml:space="preserve"> Govindan, Soleimani and Kannan (2015) review over 380 papers and find network design to be the dominant reverse-logistics theme, while calling for models that handle uncertainty and integrate decisions. Guide and Van Wassenhove (2009) argue that closed-loop chains should be designed around value recovery rather than cost minimisation, and Blackburn et al. (2004) show that for products whose value decays quickly, the disposition decision should be </w:t>
      </w:r>
      <w:r>
        <w:rPr>
          <w:rFonts w:ascii="Times New Roman" w:cs="Times New Roman" w:eastAsia="Times New Roman" w:hAnsi="Times New Roman"/>
          <w:b/>
          <w:bCs/>
          <w:sz w:val="24"/>
          <w:szCs w:val="24"/>
        </w:rPr>
        <w:t xml:space="preserve">pre-poned</w:t>
      </w:r>
      <w:r>
        <w:rPr>
          <w:rFonts w:ascii="Times New Roman" w:cs="Times New Roman" w:eastAsia="Times New Roman" w:hAnsi="Times New Roman"/>
          <w:sz w:val="24"/>
          <w:szCs w:val="24"/>
        </w:rPr>
        <w:t xml:space="preserve"> and made close to the point of return in a "responsive" reverse chain. For electronics specifically, Islam and Huda (2018) find that WEEE network models are concentrated in developed economies and rarely address the informal sector that dominates emerging markets; Kilic, Cebeci and Ayhan (2015) provide the methodological precedent of a mixed-integer model locating WEEE collection and recycling facilities under alternative collection rates.</w:t>
      </w:r>
    </w:p>
    <w:p>
      <w:pPr>
        <w:spacing w:after="100" w:before="0" w:line="360"/>
        <w:jc w:val="both"/>
      </w:pPr>
      <w:r>
        <w:rPr>
          <w:rFonts w:ascii="Times New Roman" w:cs="Times New Roman" w:eastAsia="Times New Roman" w:hAnsi="Times New Roman"/>
          <w:b/>
          <w:bCs/>
          <w:sz w:val="24"/>
          <w:szCs w:val="24"/>
        </w:rPr>
        <w:t xml:space="preserve">Green logistics and performance.</w:t>
      </w:r>
      <w:r>
        <w:rPr>
          <w:rFonts w:ascii="Times New Roman" w:cs="Times New Roman" w:eastAsia="Times New Roman" w:hAnsi="Times New Roman"/>
          <w:sz w:val="24"/>
          <w:szCs w:val="24"/>
        </w:rPr>
        <w:t xml:space="preserve"> Lai and Wong (2012) show that green logistics practices improve both environmental and operational performance when regulatory pressure is high, which is the condition EPR now creates in India. Fugate, Mentzer and Stank (2010) frame logistics performance as efficiency, effectiveness and differentiation; ReLoop's KPI set (cost per tonne, value recovered, certified destruction) maps onto these three.</w:t>
      </w:r>
    </w:p>
    <w:p>
      <w:pPr>
        <w:spacing w:after="100" w:before="0" w:line="360"/>
        <w:jc w:val="both"/>
      </w:pPr>
      <w:r>
        <w:rPr>
          <w:rFonts w:ascii="Times New Roman" w:cs="Times New Roman" w:eastAsia="Times New Roman" w:hAnsi="Times New Roman"/>
          <w:b/>
          <w:bCs/>
          <w:sz w:val="24"/>
          <w:szCs w:val="24"/>
        </w:rPr>
        <w:t xml:space="preserve">Digitalisation and AI.</w:t>
      </w:r>
      <w:r>
        <w:rPr>
          <w:rFonts w:ascii="Times New Roman" w:cs="Times New Roman" w:eastAsia="Times New Roman" w:hAnsi="Times New Roman"/>
          <w:sz w:val="24"/>
          <w:szCs w:val="24"/>
        </w:rPr>
        <w:t xml:space="preserve"> Cichosz, Wallenburg and Knemeyer (2020) identify legacy systems and data fragmentation as the main barriers to logistics service providers' digital transformation and customer co-creation as a success factor. Dadsena et al. (2024) map strategies to overcome supply-chain digitisation barriers against the Sustainable Development Goals. Random Forests (Breiman, 2001) remain a robust, interpretable choice for tabular classification of this kind.</w:t>
      </w:r>
    </w:p>
    <w:p>
      <w:pPr>
        <w:spacing w:after="100" w:before="0" w:line="360"/>
        <w:jc w:val="both"/>
      </w:pPr>
      <w:r>
        <w:rPr>
          <w:rFonts w:ascii="Times New Roman" w:cs="Times New Roman" w:eastAsia="Times New Roman" w:hAnsi="Times New Roman"/>
          <w:b/>
          <w:bCs/>
          <w:sz w:val="24"/>
          <w:szCs w:val="24"/>
        </w:rPr>
        <w:t xml:space="preserve">Risk and circularity.</w:t>
      </w:r>
      <w:r>
        <w:rPr>
          <w:rFonts w:ascii="Times New Roman" w:cs="Times New Roman" w:eastAsia="Times New Roman" w:hAnsi="Times New Roman"/>
          <w:sz w:val="24"/>
          <w:szCs w:val="24"/>
        </w:rPr>
        <w:t xml:space="preserve"> Dadsena, Sarmah and Naikan (2019) evaluate risks in sustainable road freight with an FMEA-based approach for the Indian trucking industry. Liu, Liu and Liu (2013) document the weaknesses of crisp risk priority numbers, and Wang et al. (2009) propose fuzzy aggregation of expert judgements. Dadsena et al. (2026) find that circular-economy practices built on industrial symbiosis enhance firm performance, which supports regional recycler partnerships rather than one distant contract.</w:t>
      </w:r>
    </w:p>
    <w:p>
      <w:pPr>
        <w:keepNext/>
        <w:spacing w:after="50" w:before="100"/>
      </w:pPr>
      <w:r>
        <w:rPr>
          <w:rFonts w:ascii="Times New Roman" w:cs="Times New Roman" w:eastAsia="Times New Roman" w:hAnsi="Times New Roman"/>
          <w:b/>
          <w:bCs/>
          <w:color w:val="1B4332"/>
          <w:sz w:val="20"/>
          <w:szCs w:val="20"/>
        </w:rPr>
        <w:t xml:space="preserve">Table 3. Literature gaps and the project's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Gap in existing work</w:t>
            </w:r>
          </w:p>
        </w:tc>
        <w:tc>
          <w:tcPr>
            <w:tcW w:type="dxa" w:w="4513"/>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How ReLoop addresses it</w:t>
            </w:r>
          </w:p>
        </w:tc>
      </w:tr>
      <w:tr>
        <w:trPr>
          <w:cantSplit/>
        </w:trPr>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Studies centre on household WEEE; the B2B ITAD stream, where data security is a design constraint, is under-studied</w:t>
            </w:r>
          </w:p>
        </w:tc>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Data-bearing tonne-km is modelled as an explicit outcome and a top-ranked risk</w:t>
            </w:r>
          </w:p>
        </w:tc>
      </w:tr>
      <w:tr>
        <w:trPr>
          <w:cantSplit/>
        </w:trPr>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Disposition ("what") and network design ("where") are optimised separately</w:t>
            </w:r>
          </w:p>
        </w:tc>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ML-predicted disposition mix sets the onward flows in the network model</w:t>
            </w:r>
          </w:p>
        </w:tc>
      </w:tr>
      <w:tr>
        <w:trPr>
          <w:cantSplit/>
        </w:trPr>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Indian analyses rarely use post-2023 state-level CPCB data</w:t>
            </w:r>
          </w:p>
        </w:tc>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FY24-FY25 PIB state data drives the mismatch diagnosis and forecast</w:t>
            </w:r>
          </w:p>
        </w:tc>
      </w:tr>
      <w:tr>
        <w:trPr>
          <w:cantSplit/>
        </w:trPr>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Risk analysis is seldom linked to network choices</w:t>
            </w:r>
          </w:p>
        </w:tc>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Fuzzy FMEA results shape hub siting, transport security and roadmap gates</w:t>
            </w:r>
          </w:p>
        </w:tc>
      </w:tr>
    </w:tbl>
    <w:p>
      <w:pPr>
        <w:spacing w:after="100"/>
      </w:pPr>
    </w:p>
    <w:p>
      <w:pPr>
        <w:pStyle w:val="Heading2"/>
        <w:keepNext/>
        <w:spacing w:after="60" w:before="120" w:line="300"/>
      </w:pPr>
      <w:r>
        <w:rPr>
          <w:rFonts w:ascii="Times New Roman" w:cs="Times New Roman" w:eastAsia="Times New Roman" w:hAnsi="Times New Roman"/>
          <w:b/>
          <w:bCs/>
          <w:color w:val="2D6A4F"/>
          <w:sz w:val="24"/>
          <w:szCs w:val="24"/>
        </w:rPr>
        <w:t xml:space="preserve">2.1 Concept map: how LWM sessions are applied</w:t>
      </w:r>
    </w:p>
    <w:p>
      <w:pPr>
        <w:keepNext/>
        <w:spacing w:after="50" w:before="100"/>
      </w:pPr>
      <w:r>
        <w:rPr>
          <w:rFonts w:ascii="Times New Roman" w:cs="Times New Roman" w:eastAsia="Times New Roman" w:hAnsi="Times New Roman"/>
          <w:b/>
          <w:bCs/>
          <w:color w:val="1B4332"/>
          <w:sz w:val="20"/>
          <w:szCs w:val="20"/>
        </w:rPr>
        <w:t xml:space="preserve">Table 4. Mapping of course concepts to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3385"/>
        <w:gridCol w:w="3949"/>
      </w:tblGrid>
      <w:tr>
        <w:trPr>
          <w:tblHeader/>
        </w:trPr>
        <w:tc>
          <w:tcPr>
            <w:tcW w:type="dxa" w:w="1692"/>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LWM session(s)</w:t>
            </w:r>
          </w:p>
        </w:tc>
        <w:tc>
          <w:tcPr>
            <w:tcW w:type="dxa" w:w="3385"/>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Concept from class</w:t>
            </w:r>
          </w:p>
        </w:tc>
        <w:tc>
          <w:tcPr>
            <w:tcW w:type="dxa" w:w="394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Where applied in ReLoop</w:t>
            </w:r>
          </w:p>
        </w:tc>
      </w:tr>
      <w:tr>
        <w:trPr>
          <w:cantSplit/>
        </w:trPr>
        <w:tc>
          <w:tcPr>
            <w:tcW w:type="dxa" w:w="16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w:t>
            </w:r>
          </w:p>
        </w:tc>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Logistics scope, cost-service trade-off</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Problem framing; three linked costs</w:t>
            </w:r>
          </w:p>
        </w:tc>
      </w:tr>
      <w:tr>
        <w:trPr>
          <w:cantSplit/>
        </w:trPr>
        <w:tc>
          <w:tcPr>
            <w:tcW w:type="dxa" w:w="16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 (CUHK case)</w:t>
            </w:r>
          </w:p>
        </w:tc>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3PL vs 4PL, outsourcing criteria and contracts</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Shift from one national vendor to a 4PL-orchestrated regional network</w:t>
            </w:r>
          </w:p>
        </w:tc>
      </w:tr>
      <w:tr>
        <w:trPr>
          <w:cantSplit/>
        </w:trPr>
        <w:tc>
          <w:tcPr>
            <w:tcW w:type="dxa" w:w="16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3-4 (CMA CGM, XDel)</w:t>
            </w:r>
          </w:p>
        </w:tc>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IT, tracking, route optimisation</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QR/RFID chain of custody; CVRP milk-runs; control tower</w:t>
            </w:r>
          </w:p>
        </w:tc>
      </w:tr>
      <w:tr>
        <w:trPr>
          <w:cantSplit/>
        </w:trPr>
        <w:tc>
          <w:tcPr>
            <w:tcW w:type="dxa" w:w="16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5-6 (Snapdeal)</w:t>
            </w:r>
          </w:p>
        </w:tc>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E-commerce returns, reverse-logistics gatekeeping</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Disposition hierarchy; AI grading at the gate</w:t>
            </w:r>
          </w:p>
        </w:tc>
      </w:tr>
      <w:tr>
        <w:trPr>
          <w:cantSplit/>
        </w:trPr>
        <w:tc>
          <w:tcPr>
            <w:tcW w:type="dxa" w:w="16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7-8 (MIT SMR)</w:t>
            </w:r>
          </w:p>
        </w:tc>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Green logistics drivers and metrics</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CO2e per tonne-km; consolidation</w:t>
            </w:r>
          </w:p>
        </w:tc>
      </w:tr>
      <w:tr>
        <w:trPr>
          <w:cantSplit/>
        </w:trPr>
        <w:tc>
          <w:tcPr>
            <w:tcW w:type="dxa" w:w="16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9 (Plaza Zaragoza)</w:t>
            </w:r>
          </w:p>
        </w:tc>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Freight cost drivers, hub consolidation</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Low-density "cube-out" pricing; LTL vs FTL; hub-and-spoke</w:t>
            </w:r>
          </w:p>
        </w:tc>
      </w:tr>
      <w:tr>
        <w:trPr>
          <w:cantSplit/>
        </w:trPr>
        <w:tc>
          <w:tcPr>
            <w:tcW w:type="dxa" w:w="16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10-11</w:t>
            </w:r>
          </w:p>
        </w:tc>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Resilience, transport risk</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Fuzzy FMEA; sensitivity analysis</w:t>
            </w:r>
          </w:p>
        </w:tc>
      </w:tr>
      <w:tr>
        <w:trPr>
          <w:cantSplit/>
        </w:trPr>
        <w:tc>
          <w:tcPr>
            <w:tcW w:type="dxa" w:w="16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12-14 (Raymond)</w:t>
            </w:r>
          </w:p>
        </w:tc>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Warehouse site, layout, material handling</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Hub zoning: quarantine, wipe, grade, dispatch</w:t>
            </w:r>
          </w:p>
        </w:tc>
      </w:tr>
      <w:tr>
        <w:trPr>
          <w:cantSplit/>
        </w:trPr>
        <w:tc>
          <w:tcPr>
            <w:tcW w:type="dxa" w:w="16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15</w:t>
            </w:r>
          </w:p>
        </w:tc>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Logistical and reusable packaging</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Reusable secure totes; Li-ion battery packaging</w:t>
            </w:r>
          </w:p>
        </w:tc>
      </w:tr>
      <w:tr>
        <w:trPr>
          <w:cantSplit/>
        </w:trPr>
        <w:tc>
          <w:tcPr>
            <w:tcW w:type="dxa" w:w="16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16-17 (KYY)</w:t>
            </w:r>
          </w:p>
        </w:tc>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Warehouse automation, human partners</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Automated wipe stations with human override</w:t>
            </w:r>
          </w:p>
        </w:tc>
      </w:tr>
      <w:tr>
        <w:trPr>
          <w:cantSplit/>
        </w:trPr>
        <w:tc>
          <w:tcPr>
            <w:tcW w:type="dxa" w:w="16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18-19</w:t>
            </w:r>
          </w:p>
        </w:tc>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Performance management; sustainable warehousing</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KPI dashboard; ISO 14001-ready hubs</w:t>
            </w:r>
          </w:p>
        </w:tc>
      </w:tr>
      <w:tr>
        <w:trPr>
          <w:cantSplit/>
        </w:trPr>
        <w:tc>
          <w:tcPr>
            <w:tcW w:type="dxa" w:w="16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20 (Zhiyuanhui)</w:t>
            </w:r>
          </w:p>
        </w:tc>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Technology-first vs scenario-first digitisation</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Scenario-first, stage-gated rollout</w:t>
            </w:r>
          </w:p>
        </w:tc>
      </w:tr>
    </w:tbl>
    <w:p>
      <w:pPr>
        <w:spacing w:after="100"/>
      </w:pPr>
    </w:p>
    <w:p>
      <w:pPr>
        <w:pStyle w:val="Heading1"/>
        <w:keepNext/>
        <w:spacing w:after="100" w:before="200" w:line="300"/>
      </w:pPr>
      <w:r>
        <w:rPr>
          <w:rFonts w:ascii="Times New Roman" w:cs="Times New Roman" w:eastAsia="Times New Roman" w:hAnsi="Times New Roman"/>
          <w:b/>
          <w:bCs/>
          <w:color w:val="1B4332"/>
          <w:sz w:val="28"/>
          <w:szCs w:val="28"/>
        </w:rPr>
        <w:t xml:space="preserve">3. AI Tools and Methodology</w:t>
      </w:r>
    </w:p>
    <w:p>
      <w:pPr>
        <w:keepNext/>
        <w:spacing w:after="50" w:before="100"/>
      </w:pPr>
      <w:r>
        <w:rPr>
          <w:rFonts w:ascii="Times New Roman" w:cs="Times New Roman" w:eastAsia="Times New Roman" w:hAnsi="Times New Roman"/>
          <w:b/>
          <w:bCs/>
          <w:color w:val="1B4332"/>
          <w:sz w:val="20"/>
          <w:szCs w:val="20"/>
        </w:rPr>
        <w:t xml:space="preserve">Table 5. AI and analytics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653"/>
        <w:gridCol w:w="3224"/>
      </w:tblGrid>
      <w:tr>
        <w:trPr>
          <w:tblHeader/>
        </w:trPr>
        <w:tc>
          <w:tcPr>
            <w:tcW w:type="dxa" w:w="214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Tool</w:t>
            </w:r>
          </w:p>
        </w:tc>
        <w:tc>
          <w:tcPr>
            <w:tcW w:type="dxa" w:w="3653"/>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Role in project</w:t>
            </w:r>
          </w:p>
        </w:tc>
        <w:tc>
          <w:tcPr>
            <w:tcW w:type="dxa" w:w="3224"/>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Rationale</w:t>
            </w:r>
          </w:p>
        </w:tc>
      </w:tr>
      <w:tr>
        <w:trPr>
          <w:cantSplit/>
        </w:trPr>
        <w:tc>
          <w:tcPr>
            <w:tcW w:type="dxa" w:w="21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Claude (Anthropic)</w:t>
            </w:r>
          </w:p>
        </w:tc>
        <w:tc>
          <w:tcPr>
            <w:tcW w:type="dxa" w:w="365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Scoping, literature mapping, code drafting and review, red-team critique, synthetic-data design, simulated expert panel</w:t>
            </w:r>
          </w:p>
        </w:tc>
        <w:tc>
          <w:tcPr>
            <w:tcW w:type="dxa" w:w="322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Long-context reasoning over course material; strong code generation; used under human verification</w:t>
            </w:r>
          </w:p>
        </w:tc>
      </w:tr>
      <w:tr>
        <w:trPr>
          <w:cantSplit/>
        </w:trPr>
        <w:tc>
          <w:tcPr>
            <w:tcW w:type="dxa" w:w="21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Python: pandas, NumPy, SciPy</w:t>
            </w:r>
          </w:p>
        </w:tc>
        <w:tc>
          <w:tcPr>
            <w:tcW w:type="dxa" w:w="365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Data preparation; logistic S-curve fit</w:t>
            </w:r>
          </w:p>
        </w:tc>
        <w:tc>
          <w:tcPr>
            <w:tcW w:type="dxa" w:w="322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Transparent and reproducible</w:t>
            </w:r>
          </w:p>
        </w:tc>
      </w:tr>
      <w:tr>
        <w:trPr>
          <w:cantSplit/>
        </w:trPr>
        <w:tc>
          <w:tcPr>
            <w:tcW w:type="dxa" w:w="21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scikit-learn</w:t>
            </w:r>
          </w:p>
        </w:tc>
        <w:tc>
          <w:tcPr>
            <w:tcW w:type="dxa" w:w="365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Random Forest classifier; K-means; silhouette</w:t>
            </w:r>
          </w:p>
        </w:tc>
        <w:tc>
          <w:tcPr>
            <w:tcW w:type="dxa" w:w="322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Robust on tabular data; feature importance aids explanation</w:t>
            </w:r>
          </w:p>
        </w:tc>
      </w:tr>
      <w:tr>
        <w:trPr>
          <w:cantSplit/>
        </w:trPr>
        <w:tc>
          <w:tcPr>
            <w:tcW w:type="dxa" w:w="21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Google OR-Tools (SCIP, routing)</w:t>
            </w:r>
          </w:p>
        </w:tc>
        <w:tc>
          <w:tcPr>
            <w:tcW w:type="dxa" w:w="365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Facility-location MILP; capacitated vehicle routing</w:t>
            </w:r>
          </w:p>
        </w:tc>
        <w:tc>
          <w:tcPr>
            <w:tcW w:type="dxa" w:w="322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Industrial-grade open-source solvers</w:t>
            </w:r>
          </w:p>
        </w:tc>
      </w:tr>
      <w:tr>
        <w:trPr>
          <w:cantSplit/>
        </w:trPr>
        <w:tc>
          <w:tcPr>
            <w:tcW w:type="dxa" w:w="21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Chart.js HTML dashboard</w:t>
            </w:r>
          </w:p>
        </w:tc>
        <w:tc>
          <w:tcPr>
            <w:tcW w:type="dxa" w:w="365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Control tower with live what-if NPV</w:t>
            </w:r>
          </w:p>
        </w:tc>
        <w:tc>
          <w:tcPr>
            <w:tcW w:type="dxa" w:w="322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Runs offline in any browser; no licence needed</w:t>
            </w:r>
          </w:p>
        </w:tc>
      </w:tr>
    </w:tbl>
    <w:p>
      <w:pPr>
        <w:spacing w:after="100"/>
      </w:pPr>
    </w:p>
    <w:p>
      <w:pPr>
        <w:spacing w:after="100" w:before="0" w:line="360"/>
        <w:jc w:val="both"/>
      </w:pPr>
      <w:r>
        <w:rPr>
          <w:rFonts w:ascii="Times New Roman" w:cs="Times New Roman" w:eastAsia="Times New Roman" w:hAnsi="Times New Roman"/>
          <w:b/>
          <w:bCs/>
          <w:sz w:val="24"/>
          <w:szCs w:val="24"/>
        </w:rPr>
        <w:t xml:space="preserve">Prompt design.</w:t>
      </w:r>
      <w:r>
        <w:rPr>
          <w:rFonts w:ascii="Times New Roman" w:cs="Times New Roman" w:eastAsia="Times New Roman" w:hAnsi="Times New Roman"/>
          <w:sz w:val="24"/>
          <w:szCs w:val="24"/>
        </w:rPr>
        <w:t xml:space="preserve"> Prompts followed a Role-Context-Constraint-Output pattern (for example, "act as a logistics OR modeller; here is the data schema; use only OR-Tools; return commented code"). Separate </w:t>
      </w:r>
      <w:r>
        <w:rPr>
          <w:rFonts w:ascii="Times New Roman" w:cs="Times New Roman" w:eastAsia="Times New Roman" w:hAnsi="Times New Roman"/>
          <w:i/>
          <w:iCs/>
          <w:sz w:val="24"/>
          <w:szCs w:val="24"/>
        </w:rPr>
        <w:t xml:space="preserve">critic</w:t>
      </w:r>
      <w:r>
        <w:rPr>
          <w:rFonts w:ascii="Times New Roman" w:cs="Times New Roman" w:eastAsia="Times New Roman" w:hAnsi="Times New Roman"/>
          <w:sz w:val="24"/>
          <w:szCs w:val="24"/>
        </w:rPr>
        <w:t xml:space="preserve"> prompts asked the model to attack each result, and </w:t>
      </w:r>
      <w:r>
        <w:rPr>
          <w:rFonts w:ascii="Times New Roman" w:cs="Times New Roman" w:eastAsia="Times New Roman" w:hAnsi="Times New Roman"/>
          <w:i/>
          <w:iCs/>
          <w:sz w:val="24"/>
          <w:szCs w:val="24"/>
        </w:rPr>
        <w:t xml:space="preserve">verification</w:t>
      </w:r>
      <w:r>
        <w:rPr>
          <w:rFonts w:ascii="Times New Roman" w:cs="Times New Roman" w:eastAsia="Times New Roman" w:hAnsi="Times New Roman"/>
          <w:sz w:val="24"/>
          <w:szCs w:val="24"/>
        </w:rPr>
        <w:t xml:space="preserve"> prompts checked every citation against its DOI. A non-negotiable rule was that no number enters the report unless it comes from code output or a cited source. Two AI suggestions were rejected after critique: Prophet for forecasting (seven annual points and a methodology break make it over-fit), and the first network model, whose freight rates under-priced low-density IT cargo and made the status quo look cheaper (Prompt Logbook entries 7 and 9).</w:t>
      </w:r>
    </w:p>
    <w:p>
      <w:pPr>
        <w:spacing w:after="100" w:before="0" w:line="360"/>
        <w:jc w:val="both"/>
      </w:pPr>
      <w:r>
        <w:rPr>
          <w:rFonts w:ascii="Times New Roman" w:cs="Times New Roman" w:eastAsia="Times New Roman" w:hAnsi="Times New Roman"/>
          <w:b/>
          <w:bCs/>
          <w:sz w:val="24"/>
          <w:szCs w:val="24"/>
        </w:rPr>
        <w:t xml:space="preserve">Coding workflow.</w:t>
      </w:r>
      <w:r>
        <w:rPr>
          <w:rFonts w:ascii="Times New Roman" w:cs="Times New Roman" w:eastAsia="Times New Roman" w:hAnsi="Times New Roman"/>
          <w:sz w:val="24"/>
          <w:szCs w:val="24"/>
        </w:rPr>
        <w:t xml:space="preserve"> Nine modular scripts (a01 to a09) share one configuration file, use a fixed random seed and write every headline number to a single results file, so the report, deck and dashboard cannot drift apart. One command (run_all.py) reproduces everything in about a minute. </w:t>
      </w:r>
      <w:r>
        <w:rPr>
          <w:rFonts w:ascii="Times New Roman" w:cs="Times New Roman" w:eastAsia="Times New Roman" w:hAnsi="Times New Roman"/>
          <w:b/>
          <w:bCs/>
          <w:sz w:val="24"/>
          <w:szCs w:val="24"/>
        </w:rPr>
        <w:t xml:space="preserve">Analytical approach:</w:t>
      </w:r>
      <w:r>
        <w:rPr>
          <w:rFonts w:ascii="Times New Roman" w:cs="Times New Roman" w:eastAsia="Times New Roman" w:hAnsi="Times New Roman"/>
          <w:sz w:val="24"/>
          <w:szCs w:val="24"/>
        </w:rPr>
        <w:t xml:space="preserve"> diagnose, predict, optimise, then evaluate risk and value (Figure M).</w:t>
      </w:r>
    </w:p>
    <w:p>
      <w:pPr>
        <w:keepNext/>
        <w:spacing w:after="20" w:before="60"/>
        <w:jc w:val="center"/>
      </w:pPr>
      <w:r>
        <w:drawing>
          <wp:inline distT="0" distB="0" distL="0" distR="0">
            <wp:extent cx="5120640" cy="2378852"/>
            <wp:effectExtent t="0" r="0" b="0" l="0"/>
            <wp:docPr id="1" name="figM_methodology.png" descr="Figure M. Methodology flowchart: AI-augmented analytics pipeline" title="Figure M. Methodology flowchart: AI-augmented analytic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378852"/>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M. Methodology flowchart: AI-augmented analytics pipeline</w:t>
      </w:r>
    </w:p>
    <w:p>
      <w:pPr>
        <w:pStyle w:val="Heading1"/>
        <w:keepNext/>
        <w:spacing w:after="100" w:before="200" w:line="300"/>
      </w:pPr>
      <w:r>
        <w:rPr>
          <w:rFonts w:ascii="Times New Roman" w:cs="Times New Roman" w:eastAsia="Times New Roman" w:hAnsi="Times New Roman"/>
          <w:b/>
          <w:bCs/>
          <w:color w:val="1B4332"/>
          <w:sz w:val="28"/>
          <w:szCs w:val="28"/>
        </w:rPr>
        <w:t xml:space="preserve">4. Data Collection and Preparation</w:t>
      </w:r>
    </w:p>
    <w:p>
      <w:pPr>
        <w:spacing w:after="100" w:before="0" w:line="360"/>
        <w:jc w:val="both"/>
      </w:pPr>
      <w:r>
        <w:rPr>
          <w:rFonts w:ascii="Times New Roman" w:cs="Times New Roman" w:eastAsia="Times New Roman" w:hAnsi="Times New Roman"/>
          <w:sz w:val="24"/>
          <w:szCs w:val="24"/>
        </w:rPr>
        <w:t xml:space="preserve">The project was rebuilt so that every diagnostic and the recycler side of the network rest on </w:t>
      </w:r>
      <w:r>
        <w:rPr>
          <w:rFonts w:ascii="Times New Roman" w:cs="Times New Roman" w:eastAsia="Times New Roman" w:hAnsi="Times New Roman"/>
          <w:b/>
          <w:bCs/>
          <w:sz w:val="24"/>
          <w:szCs w:val="24"/>
        </w:rPr>
        <w:t xml:space="preserve">real public records</w:t>
      </w:r>
      <w:r>
        <w:rPr>
          <w:rFonts w:ascii="Times New Roman" w:cs="Times New Roman" w:eastAsia="Times New Roman" w:hAnsi="Times New Roman"/>
          <w:sz w:val="24"/>
          <w:szCs w:val="24"/>
        </w:rPr>
        <w:t xml:space="preserve">. Synthetic data is used only where the information is inherently confidential (enterprise asset registers and client volumes).</w:t>
      </w:r>
    </w:p>
    <w:p>
      <w:pPr>
        <w:keepNext/>
        <w:spacing w:after="50" w:before="100"/>
      </w:pPr>
      <w:r>
        <w:rPr>
          <w:rFonts w:ascii="Times New Roman" w:cs="Times New Roman" w:eastAsia="Times New Roman" w:hAnsi="Times New Roman"/>
          <w:b/>
          <w:bCs/>
          <w:color w:val="1B4332"/>
          <w:sz w:val="20"/>
          <w:szCs w:val="20"/>
        </w:rPr>
        <w:t xml:space="preserve">Table 6. Data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74"/>
        <w:gridCol w:w="992"/>
        <w:gridCol w:w="2579"/>
        <w:gridCol w:w="893"/>
        <w:gridCol w:w="1389"/>
      </w:tblGrid>
      <w:tr>
        <w:trPr>
          <w:tblHeader/>
        </w:trPr>
        <w:tc>
          <w:tcPr>
            <w:tcW w:type="dxa" w:w="3174"/>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7"/>
                <w:szCs w:val="17"/>
              </w:rPr>
              <w:t xml:space="preserve">Dataset</w:t>
            </w:r>
          </w:p>
        </w:tc>
        <w:tc>
          <w:tcPr>
            <w:tcW w:type="dxa" w:w="992"/>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7"/>
                <w:szCs w:val="17"/>
              </w:rPr>
              <w:t xml:space="preserve">Type</w:t>
            </w:r>
          </w:p>
        </w:tc>
        <w:tc>
          <w:tcPr>
            <w:tcW w:type="dxa" w:w="257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7"/>
                <w:szCs w:val="17"/>
              </w:rPr>
              <w:t xml:space="preserve">Source</w:t>
            </w:r>
          </w:p>
        </w:tc>
        <w:tc>
          <w:tcPr>
            <w:tcW w:type="dxa" w:w="893"/>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7"/>
                <w:szCs w:val="17"/>
              </w:rPr>
              <w:t xml:space="preserve">Size</w:t>
            </w:r>
          </w:p>
        </w:tc>
        <w:tc>
          <w:tcPr>
            <w:tcW w:type="dxa" w:w="138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7"/>
                <w:szCs w:val="17"/>
              </w:rPr>
              <w:t xml:space="preserve">Used in</w:t>
            </w:r>
          </w:p>
        </w:tc>
      </w:tr>
      <w:tr>
        <w:trPr>
          <w:cantSplit/>
        </w:trPr>
        <w:tc>
          <w:tcPr>
            <w:tcW w:type="dxa" w:w="317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Recycler registry: company, district, state, authorised (CTO) capacity</w:t>
            </w:r>
          </w:p>
        </w:tc>
        <w:tc>
          <w:tcPr>
            <w:tcW w:type="dxa" w:w="9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Real</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CPCB EPR portal, downloaded 23 Aug 2026</w:t>
            </w:r>
          </w:p>
        </w:tc>
        <w:tc>
          <w:tcPr>
            <w:tcW w:type="dxa" w:w="89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413 rows</w:t>
            </w:r>
          </w:p>
        </w:tc>
        <w:tc>
          <w:tcPr>
            <w:tcW w:type="dxa" w:w="138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Capacity atlas, typology, MILP</w:t>
            </w:r>
          </w:p>
        </w:tc>
      </w:tr>
      <w:tr>
        <w:trPr>
          <w:cantSplit/>
        </w:trPr>
        <w:tc>
          <w:tcPr>
            <w:tcW w:type="dxa" w:w="317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Recyclers, capacity, collection centres, processing FY20-FY21</w:t>
            </w:r>
          </w:p>
        </w:tc>
        <w:tc>
          <w:tcPr>
            <w:tcW w:type="dxa" w:w="9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Real</w:t>
            </w:r>
          </w:p>
        </w:tc>
        <w:tc>
          <w:tcPr>
            <w:tcW w:type="dxa" w:w="257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Lok Sabha USQ 983 (2020), USQ 2458 (2021)</w:t>
            </w:r>
          </w:p>
        </w:tc>
        <w:tc>
          <w:tcPr>
            <w:tcW w:type="dxa" w:w="89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18-35 states</w:t>
            </w:r>
          </w:p>
        </w:tc>
        <w:tc>
          <w:tcPr>
            <w:tcW w:type="dxa" w:w="138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Capacity trend, panel</w:t>
            </w:r>
          </w:p>
        </w:tc>
      </w:tr>
      <w:tr>
        <w:trPr>
          <w:cantSplit/>
        </w:trPr>
        <w:tc>
          <w:tcPr>
            <w:tcW w:type="dxa" w:w="317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National generation and formal processing FY18-FY25; state processing FY24-FY25</w:t>
            </w:r>
          </w:p>
        </w:tc>
        <w:tc>
          <w:tcPr>
            <w:tcW w:type="dxa" w:w="9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Real</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CPCB via PIB (2023, 2025)</w:t>
            </w:r>
          </w:p>
        </w:tc>
        <w:tc>
          <w:tcPr>
            <w:tcW w:type="dxa" w:w="89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7 yrs; 19 states</w:t>
            </w:r>
          </w:p>
        </w:tc>
        <w:tc>
          <w:tcPr>
            <w:tcW w:type="dxa" w:w="138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Mismatch, forecast</w:t>
            </w:r>
          </w:p>
        </w:tc>
      </w:tr>
      <w:tr>
        <w:trPr>
          <w:cantSplit/>
        </w:trPr>
        <w:tc>
          <w:tcPr>
            <w:tcW w:type="dxa" w:w="317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Tele-density and internet density by state, Sep 2024</w:t>
            </w:r>
          </w:p>
        </w:tc>
        <w:tc>
          <w:tcPr>
            <w:tcW w:type="dxa" w:w="9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Real</w:t>
            </w:r>
          </w:p>
        </w:tc>
        <w:tc>
          <w:tcPr>
            <w:tcW w:type="dxa" w:w="257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TRAI, via Jharkhand Economic Survey 2025-26, Table 9.8</w:t>
            </w:r>
          </w:p>
        </w:tc>
        <w:tc>
          <w:tcPr>
            <w:tcW w:type="dxa" w:w="89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16 areas</w:t>
            </w:r>
          </w:p>
        </w:tc>
        <w:tc>
          <w:tcPr>
            <w:tcW w:type="dxa" w:w="138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Generation proxy</w:t>
            </w:r>
          </w:p>
        </w:tc>
      </w:tr>
      <w:tr>
        <w:trPr>
          <w:cantSplit/>
        </w:trPr>
        <w:tc>
          <w:tcPr>
            <w:tcW w:type="dxa" w:w="317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Population 2011; GSDP FY24 (approximate)</w:t>
            </w:r>
          </w:p>
        </w:tc>
        <w:tc>
          <w:tcPr>
            <w:tcW w:type="dxa" w:w="9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Real / proxy</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Census of India 2011; RBI Handbook (robustness only)</w:t>
            </w:r>
          </w:p>
        </w:tc>
        <w:tc>
          <w:tcPr>
            <w:tcW w:type="dxa" w:w="89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18-21 states</w:t>
            </w:r>
          </w:p>
        </w:tc>
        <w:tc>
          <w:tcPr>
            <w:tcW w:type="dxa" w:w="138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Proxy, robustness</w:t>
            </w:r>
          </w:p>
        </w:tc>
      </w:tr>
      <w:tr>
        <w:trPr>
          <w:cantSplit/>
        </w:trPr>
        <w:tc>
          <w:tcPr>
            <w:tcW w:type="dxa" w:w="317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IT-asset return records</w:t>
            </w:r>
          </w:p>
        </w:tc>
        <w:tc>
          <w:tcPr>
            <w:tcW w:type="dxa" w:w="9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Synthetic</w:t>
            </w:r>
          </w:p>
        </w:tc>
        <w:tc>
          <w:tcPr>
            <w:tcW w:type="dxa" w:w="257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Generated (seed 42) from documented grading logic</w:t>
            </w:r>
          </w:p>
        </w:tc>
        <w:tc>
          <w:tcPr>
            <w:tcW w:type="dxa" w:w="89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12,000</w:t>
            </w:r>
          </w:p>
        </w:tc>
        <w:tc>
          <w:tcPr>
            <w:tcW w:type="dxa" w:w="138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AI grading</w:t>
            </w:r>
          </w:p>
        </w:tc>
      </w:tr>
      <w:tr>
        <w:trPr>
          <w:cantSplit/>
        </w:trPr>
        <w:tc>
          <w:tcPr>
            <w:tcW w:type="dxa" w:w="317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Client sites and volumes, 12 cities; Pune tickets</w:t>
            </w:r>
          </w:p>
        </w:tc>
        <w:tc>
          <w:tcPr>
            <w:tcW w:type="dxa" w:w="992"/>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Synthetic / assumption</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Real locations, generated volumes</w:t>
            </w:r>
          </w:p>
        </w:tc>
        <w:tc>
          <w:tcPr>
            <w:tcW w:type="dxa" w:w="89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424; 20</w:t>
            </w:r>
          </w:p>
        </w:tc>
        <w:tc>
          <w:tcPr>
            <w:tcW w:type="dxa" w:w="138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Clustering, MILP, CVRP</w:t>
            </w:r>
          </w:p>
        </w:tc>
      </w:tr>
      <w:tr>
        <w:trPr>
          <w:cantSplit/>
        </w:trPr>
        <w:tc>
          <w:tcPr>
            <w:tcW w:type="dxa" w:w="317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FMEA ratings</w:t>
            </w:r>
          </w:p>
        </w:tc>
        <w:tc>
          <w:tcPr>
            <w:tcW w:type="dxa" w:w="992"/>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Real (survey)</w:t>
            </w:r>
          </w:p>
        </w:tc>
        <w:tc>
          <w:tcPr>
            <w:tcW w:type="dxa" w:w="257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Anonymous practitioner survey, Google Forms, 4-5 Oct 2026</w:t>
            </w:r>
          </w:p>
        </w:tc>
        <w:tc>
          <w:tcPr>
            <w:tcW w:type="dxa" w:w="89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4 responses; 3 used</w:t>
            </w:r>
          </w:p>
        </w:tc>
        <w:tc>
          <w:tcPr>
            <w:tcW w:type="dxa" w:w="138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7"/>
                <w:szCs w:val="17"/>
              </w:rPr>
              <w:t xml:space="preserve">Fuzzy FMEA</w:t>
            </w:r>
          </w:p>
        </w:tc>
      </w:tr>
    </w:tbl>
    <w:p>
      <w:pPr>
        <w:spacing w:after="100"/>
      </w:pPr>
    </w:p>
    <w:p>
      <w:pPr>
        <w:spacing w:after="100" w:before="0" w:line="360"/>
        <w:jc w:val="both"/>
      </w:pPr>
      <w:r>
        <w:rPr>
          <w:rFonts w:ascii="Times New Roman" w:cs="Times New Roman" w:eastAsia="Times New Roman" w:hAnsi="Times New Roman"/>
          <w:b/>
          <w:bCs/>
          <w:sz w:val="24"/>
          <w:szCs w:val="24"/>
        </w:rPr>
        <w:t xml:space="preserve">Cleaning.</w:t>
      </w:r>
      <w:r>
        <w:rPr>
          <w:rFonts w:ascii="Times New Roman" w:cs="Times New Roman" w:eastAsia="Times New Roman" w:hAnsi="Times New Roman"/>
          <w:sz w:val="24"/>
          <w:szCs w:val="24"/>
        </w:rPr>
        <w:t xml:space="preserve"> The registry contained two dummy entries ("Recycler Test", "Recycler Test 2") that were removed, leaving 411 recyclers across 107 districts in 19 states; no exact duplicates were found. Districts were geocoded to approximate headquarters coordinates. In the 2021 Lok Sabha annexure, entries marked "Not received" or "-" were treated as missing, not zero, and an implausible value for Jammu and Kashmir ("150,559" against 87 t a year earlier) was excluded. Because TRAI reports by licensed service area, Telangana is grouped with Andhra Pradesh and Uttarakhand with Uttar Pradesh in the mismatch analysis. FY 2022-23 national processing is not published consistently and was left missing. In the FMEA survey, one of four responses gave the same rating (Medium) to all 30 items; such straight-lined responses carry no information about relative risk and were excluded from the main analysis, with results including it reported as a robustness check.</w:t>
      </w:r>
    </w:p>
    <w:p>
      <w:pPr>
        <w:spacing w:after="100" w:before="0" w:line="360"/>
        <w:jc w:val="both"/>
      </w:pPr>
      <w:r>
        <w:rPr>
          <w:rFonts w:ascii="Times New Roman" w:cs="Times New Roman" w:eastAsia="Times New Roman" w:hAnsi="Times New Roman"/>
          <w:b/>
          <w:bCs/>
          <w:sz w:val="24"/>
          <w:szCs w:val="24"/>
        </w:rPr>
        <w:t xml:space="preserve">Normalisation and proxies.</w:t>
      </w:r>
      <w:r>
        <w:rPr>
          <w:rFonts w:ascii="Times New Roman" w:cs="Times New Roman" w:eastAsia="Times New Roman" w:hAnsi="Times New Roman"/>
          <w:sz w:val="24"/>
          <w:szCs w:val="24"/>
        </w:rPr>
        <w:t xml:space="preserve"> CPCB does not publish state-wise generation. The primary proxy is internet subscribers (TRAI internet density x Census population), a direct measure of the installed device base; GSDP share is used only as a robustness check. The two proxies rank regions almost identically (Spearman rho = 0.99), so the findings do not depend on the proxy choice. All volumes are expressed as national shares; the capacity index and mismatch index are ratios of shares.</w:t>
      </w:r>
    </w:p>
    <w:p>
      <w:pPr>
        <w:spacing w:after="100" w:before="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(1) Census 2011 population understates 2024 levels but shares change slowly. (2) The registry (411 units, Aug 2026) and PIB's FY25 count (446) differ by date and definition. (3) Asset-level grading data, client volumes and cost parameters are synthetic or assumed (Annex C) and tested through sensitivity analysis. (4) The FMEA panel is small (three usable practitioners) and should be re-run with hub staff after the pilot.</w:t>
      </w:r>
    </w:p>
    <w:p>
      <w:pPr>
        <w:pStyle w:val="Heading1"/>
        <w:keepNext/>
        <w:spacing w:after="100" w:before="200" w:line="300"/>
      </w:pPr>
      <w:r>
        <w:rPr>
          <w:rFonts w:ascii="Times New Roman" w:cs="Times New Roman" w:eastAsia="Times New Roman" w:hAnsi="Times New Roman"/>
          <w:b/>
          <w:bCs/>
          <w:color w:val="1B4332"/>
          <w:sz w:val="28"/>
          <w:szCs w:val="28"/>
        </w:rPr>
        <w:t xml:space="preserve">5. Analysis and Insights</w:t>
      </w:r>
    </w:p>
    <w:p>
      <w:pPr>
        <w:pStyle w:val="Heading2"/>
        <w:keepNext/>
        <w:spacing w:after="60" w:before="120" w:line="300"/>
      </w:pPr>
      <w:r>
        <w:rPr>
          <w:rFonts w:ascii="Times New Roman" w:cs="Times New Roman" w:eastAsia="Times New Roman" w:hAnsi="Times New Roman"/>
          <w:b/>
          <w:bCs/>
          <w:color w:val="2D6A4F"/>
          <w:sz w:val="24"/>
          <w:szCs w:val="24"/>
        </w:rPr>
        <w:t xml:space="preserve">5.1 Diagnosis: idle capacity, inverted flows</w:t>
      </w:r>
    </w:p>
    <w:p>
      <w:pPr>
        <w:keepNext/>
        <w:spacing w:after="20" w:before="60"/>
        <w:jc w:val="center"/>
      </w:pPr>
      <w:r>
        <w:drawing>
          <wp:inline distT="0" distB="0" distL="0" distR="0">
            <wp:extent cx="4114800" cy="2516409"/>
            <wp:effectExtent t="0" r="0" b="0" l="0"/>
            <wp:docPr id="1" name="fig01_spatial_mismatch.png" descr="Figure 1. Generation proxy vs. formal processing by TRAI service area, FY 2024-25 (MI = mismatch index; ticks = GSDP robustness proxy)" title="Figure 1. Generation proxy vs. formal processing by TRAI service area, FY 2024-25 (MI = mismatch index; ticks = GSDP robustness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516409"/>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1. Generation proxy vs. formal processing by TRAI service area, FY 2024-25 (MI = mismatch index; ticks = GSDP robustness proxy)</w:t>
      </w:r>
    </w:p>
    <w:p>
      <w:pPr>
        <w:spacing w:after="100" w:before="0" w:line="360"/>
        <w:jc w:val="both"/>
      </w:pPr>
      <w:r>
        <w:rPr>
          <w:rFonts w:ascii="Times New Roman" w:cs="Times New Roman" w:eastAsia="Times New Roman" w:hAnsi="Times New Roman"/>
          <w:sz w:val="24"/>
          <w:szCs w:val="24"/>
        </w:rPr>
        <w:t xml:space="preserve">UP plus Uttarakhand (MI 3.31) and Haryana (4.59) process three to four-and-a-half times their share of generation, while Maharashtra (0.41), Karnataka (0.23) and Tamil Nadu (0.21) export most of theirs. Figure 1b-c shows why this is a logistics problem and not a capacity problem.</w:t>
      </w:r>
    </w:p>
    <w:p>
      <w:pPr>
        <w:keepNext/>
        <w:spacing w:after="20" w:before="60"/>
        <w:jc w:val="center"/>
      </w:pPr>
      <w:r>
        <w:drawing>
          <wp:inline distT="0" distB="0" distL="0" distR="0">
            <wp:extent cx="5029200" cy="2200485"/>
            <wp:effectExtent t="0" r="0" b="0" l="0"/>
            <wp:docPr id="1" name="fig01b_capacity_atlas.png" descr="Figure 1b-c. Authorised capacity over time, and FY25 utilisation by service area (CPCB registry, Lok Sabha, PIB)" title="Figure 1b-c. Authorised capacity over time, and FY25 utilisation by service area (CPCB registry, Lok Sabha, P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200485"/>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1b-c. Authorised capacity over time, and FY25 utilisation by service area (CPCB registry, Lok Sabha, PIB)</w:t>
      </w:r>
    </w:p>
    <w:p>
      <w:pPr>
        <w:spacing w:after="100" w:before="0" w:line="360"/>
        <w:jc w:val="both"/>
      </w:pPr>
      <w:r>
        <w:rPr>
          <w:rFonts w:ascii="Times New Roman" w:cs="Times New Roman" w:eastAsia="Times New Roman" w:hAnsi="Times New Roman"/>
          <w:sz w:val="24"/>
          <w:szCs w:val="24"/>
        </w:rPr>
        <w:t xml:space="preserve">Capacity has outgrown flow five-fold, and utilisation is lowest exactly where corporate IT waste originates: Karnataka 10%, Tamil Nadu 9%, Maharashtra 12%. A K-means model on three size-neutral ratios (mismatch index, capacity index, utilisation) separates the 16 regions into four types (silhouette 0.5): </w:t>
      </w:r>
      <w:r>
        <w:rPr>
          <w:rFonts w:ascii="Times New Roman" w:cs="Times New Roman" w:eastAsia="Times New Roman" w:hAnsi="Times New Roman"/>
          <w:b/>
          <w:bCs/>
          <w:sz w:val="24"/>
          <w:szCs w:val="24"/>
        </w:rPr>
        <w:t xml:space="preserve">processing hubs</w:t>
      </w:r>
      <w:r>
        <w:rPr>
          <w:rFonts w:ascii="Times New Roman" w:cs="Times New Roman" w:eastAsia="Times New Roman" w:hAnsi="Times New Roman"/>
          <w:sz w:val="24"/>
          <w:szCs w:val="24"/>
        </w:rPr>
        <w:t xml:space="preserve"> (UP + Uttarakhand, AP + Telangana, Gujarat, Haryana); </w:t>
      </w:r>
      <w:r>
        <w:rPr>
          <w:rFonts w:ascii="Times New Roman" w:cs="Times New Roman" w:eastAsia="Times New Roman" w:hAnsi="Times New Roman"/>
          <w:b/>
          <w:bCs/>
          <w:sz w:val="24"/>
          <w:szCs w:val="24"/>
        </w:rPr>
        <w:t xml:space="preserve">under-fed capacity</w:t>
      </w:r>
      <w:r>
        <w:rPr>
          <w:rFonts w:ascii="Times New Roman" w:cs="Times New Roman" w:eastAsia="Times New Roman" w:hAnsi="Times New Roman"/>
          <w:sz w:val="24"/>
          <w:szCs w:val="24"/>
        </w:rPr>
        <w:t xml:space="preserve"> (Maharashtra, Tamil Nadu, West Bengal, Karnataka, Rajasthan, Madhya Pradesh, Punjab, Chhattisgarh); </w:t>
      </w:r>
      <w:r>
        <w:rPr>
          <w:rFonts w:ascii="Times New Roman" w:cs="Times New Roman" w:eastAsia="Times New Roman" w:hAnsi="Times New Roman"/>
          <w:b/>
          <w:bCs/>
          <w:sz w:val="24"/>
          <w:szCs w:val="24"/>
        </w:rPr>
        <w:t xml:space="preserve">processing deserts</w:t>
      </w:r>
      <w:r>
        <w:rPr>
          <w:rFonts w:ascii="Times New Roman" w:cs="Times New Roman" w:eastAsia="Times New Roman" w:hAnsi="Times New Roman"/>
          <w:sz w:val="24"/>
          <w:szCs w:val="24"/>
        </w:rPr>
        <w:t xml:space="preserve"> (Bihar, Odisha, Jharkhand); and one small saturated system (Kerala). </w:t>
      </w:r>
      <w:r>
        <w:rPr>
          <w:rFonts w:ascii="Times New Roman" w:cs="Times New Roman" w:eastAsia="Times New Roman" w:hAnsi="Times New Roman"/>
          <w:b/>
          <w:bCs/>
          <w:sz w:val="24"/>
          <w:szCs w:val="24"/>
        </w:rPr>
        <w:t xml:space="preserve">Insight:</w:t>
      </w:r>
      <w:r>
        <w:rPr>
          <w:rFonts w:ascii="Times New Roman" w:cs="Times New Roman" w:eastAsia="Times New Roman" w:hAnsi="Times New Roman"/>
          <w:sz w:val="24"/>
          <w:szCs w:val="24"/>
        </w:rPr>
        <w:t xml:space="preserve"> a 3PL serving IT estates in under-fed regions can contract licensed recyclers locally instead of trucking north; the economic barrier is consolidation, not capacity.</w:t>
      </w:r>
    </w:p>
    <w:p>
      <w:pPr>
        <w:keepNext/>
        <w:spacing w:after="20" w:before="60"/>
        <w:jc w:val="center"/>
      </w:pPr>
      <w:r>
        <w:drawing>
          <wp:inline distT="0" distB="0" distL="0" distR="0">
            <wp:extent cx="3657600" cy="2377603"/>
            <wp:effectExtent t="0" r="0" b="0" l="0"/>
            <wp:docPr id="1" name="fig01e_state_typology.png" descr="Figure 1e. Data-driven typology of regional e-waste systems (bubble size = generation share)" title="Figure 1e. Data-driven typology of regional e-waste systems (bubble size = generation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377603"/>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1e. Data-driven typology of regional e-waste systems (bubble size = generation share)</w:t>
      </w:r>
    </w:p>
    <w:p>
      <w:pPr>
        <w:pStyle w:val="Heading2"/>
        <w:keepNext/>
        <w:spacing w:after="60" w:before="120" w:line="300"/>
      </w:pPr>
      <w:r>
        <w:rPr>
          <w:rFonts w:ascii="Times New Roman" w:cs="Times New Roman" w:eastAsia="Times New Roman" w:hAnsi="Times New Roman"/>
          <w:b/>
          <w:bCs/>
          <w:color w:val="2D6A4F"/>
          <w:sz w:val="24"/>
          <w:szCs w:val="24"/>
        </w:rPr>
        <w:t xml:space="preserve">5.2 Volume outlook: plan for a band, not a plant</w:t>
      </w:r>
    </w:p>
    <w:p>
      <w:pPr>
        <w:keepNext/>
        <w:spacing w:after="20" w:before="60"/>
        <w:jc w:val="center"/>
      </w:pPr>
      <w:r>
        <w:drawing>
          <wp:inline distT="0" distB="0" distL="0" distR="0">
            <wp:extent cx="3931920" cy="2320999"/>
            <wp:effectExtent t="0" r="0" b="0" l="0"/>
            <wp:docPr id="1" name="fig02_forecast.png" descr="Figure 2. Formal reverse-logistics flow: actuals FY18-FY25, two forecast models to FY30, and authorised capacity" title="Figure 2. Formal reverse-logistics flow: actuals FY18-FY25, two forecast models to FY30, and authorised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1920" cy="2320999"/>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2. Formal reverse-logistics flow: actuals FY18-FY25, two forecast models to FY30, and authorised capacity</w:t>
      </w:r>
    </w:p>
    <w:p>
      <w:pPr>
        <w:spacing w:after="100" w:before="0" w:line="360"/>
        <w:jc w:val="both"/>
      </w:pPr>
      <w:r>
        <w:rPr>
          <w:rFonts w:ascii="Times New Roman" w:cs="Times New Roman" w:eastAsia="Times New Roman" w:hAnsi="Times New Roman"/>
          <w:sz w:val="24"/>
          <w:szCs w:val="24"/>
        </w:rPr>
        <w:t xml:space="preserve">The data-only logistic curve fits history well (MAPE 9.5%) and saturates near 12.74 lakh tonnes by FY30; the EPR policy model gives 17.46 to 22.88 lakh tonnes (base 20.48). A data-only model cannot see a regulatory step-change, so planning should use the band. Even the high scenario would use only 54.1% of today's authorised capacity. </w:t>
      </w:r>
      <w:r>
        <w:rPr>
          <w:rFonts w:ascii="Times New Roman" w:cs="Times New Roman" w:eastAsia="Times New Roman" w:hAnsi="Times New Roman"/>
          <w:b/>
          <w:bCs/>
          <w:sz w:val="24"/>
          <w:szCs w:val="24"/>
        </w:rPr>
        <w:t xml:space="preserve">Insight:</w:t>
      </w:r>
      <w:r>
        <w:rPr>
          <w:rFonts w:ascii="Times New Roman" w:cs="Times New Roman" w:eastAsia="Times New Roman" w:hAnsi="Times New Roman"/>
          <w:sz w:val="24"/>
          <w:szCs w:val="24"/>
        </w:rPr>
        <w:t xml:space="preserve"> India does not need more recycling plants this decade; it needs collection, consolidation and routing that bring flow to the plants it already has.</w:t>
      </w:r>
    </w:p>
    <w:p>
      <w:pPr>
        <w:pStyle w:val="Heading2"/>
        <w:keepNext/>
        <w:spacing w:after="60" w:before="120" w:line="300"/>
      </w:pPr>
      <w:r>
        <w:rPr>
          <w:rFonts w:ascii="Times New Roman" w:cs="Times New Roman" w:eastAsia="Times New Roman" w:hAnsi="Times New Roman"/>
          <w:b/>
          <w:bCs/>
          <w:color w:val="2D6A4F"/>
          <w:sz w:val="24"/>
          <w:szCs w:val="24"/>
        </w:rPr>
        <w:t xml:space="preserve">5.3 AI grading engine: deciding at the gate</w:t>
      </w:r>
    </w:p>
    <w:p>
      <w:pPr>
        <w:keepNext/>
        <w:spacing w:after="20" w:before="60"/>
        <w:jc w:val="center"/>
      </w:pPr>
      <w:r>
        <w:drawing>
          <wp:inline distT="0" distB="0" distL="0" distR="0">
            <wp:extent cx="5120640" cy="2382872"/>
            <wp:effectExtent t="0" r="0" b="0" l="0"/>
            <wp:docPr id="1" name="fig03_disposition_ml.png" descr="Figure 3. (a) Average value recovered per asset under three policies; (b) drivers of the disposition decision" title="Figure 3. (a) Average value recovered per asset under three policies; (b) drivers of the disposition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2382872"/>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3. (a) Average value recovered per asset under three policies; (b) drivers of the disposition decision</w:t>
      </w:r>
    </w:p>
    <w:p>
      <w:pPr>
        <w:spacing w:after="100" w:before="0" w:line="360"/>
        <w:jc w:val="both"/>
      </w:pPr>
      <w:r>
        <w:rPr>
          <w:rFonts w:ascii="Times New Roman" w:cs="Times New Roman" w:eastAsia="Times New Roman" w:hAnsi="Times New Roman"/>
          <w:sz w:val="24"/>
          <w:szCs w:val="24"/>
        </w:rPr>
        <w:t xml:space="preserve">On a 3,000-asset hold-out set the Random Forest reaches 76.5% accuracy and macro-F1 of 0.766 (five-fold CV 0.766 plus or minus 0.006), against 48.5% for the age rule. Accuracy is the wrong yardstick, however; value is the right one. Scoring every decision at its realised rupee value (with a Rs 1,200 rework penalty for over-optimistic routing), AI grading recovers </w:t>
      </w:r>
      <w:r>
        <w:rPr>
          <w:rFonts w:ascii="Times New Roman" w:cs="Times New Roman" w:eastAsia="Times New Roman" w:hAnsi="Times New Roman"/>
          <w:b/>
          <w:bCs/>
          <w:sz w:val="24"/>
          <w:szCs w:val="24"/>
        </w:rPr>
        <w:t xml:space="preserve">Rs 6,357 per asset versus Rs 5,519</w:t>
      </w:r>
      <w:r>
        <w:rPr>
          <w:rFonts w:ascii="Times New Roman" w:cs="Times New Roman" w:eastAsia="Times New Roman" w:hAnsi="Times New Roman"/>
          <w:sz w:val="24"/>
          <w:szCs w:val="24"/>
        </w:rPr>
        <w:t xml:space="preserve"> under the rule, closing 48.4% of the gap to perfect information. The rule sends 59% of assets to the recycler; the model shows only about 23% truly belong there. Storage health, age and processor-generation gap drive the decision, which tells operations exactly which three readings a grader must capture at intake.</w:t>
      </w:r>
    </w:p>
    <w:p>
      <w:pPr>
        <w:pStyle w:val="Heading2"/>
        <w:keepNext/>
        <w:spacing w:after="60" w:before="120" w:line="300"/>
      </w:pPr>
      <w:r>
        <w:rPr>
          <w:rFonts w:ascii="Times New Roman" w:cs="Times New Roman" w:eastAsia="Times New Roman" w:hAnsi="Times New Roman"/>
          <w:b/>
          <w:bCs/>
          <w:color w:val="2D6A4F"/>
          <w:sz w:val="24"/>
          <w:szCs w:val="24"/>
        </w:rPr>
        <w:t xml:space="preserve">5.4 Network design over the real recycler network</w:t>
      </w:r>
    </w:p>
    <w:p>
      <w:pPr>
        <w:keepNext/>
        <w:spacing w:after="20" w:before="60"/>
        <w:jc w:val="center"/>
      </w:pPr>
      <w:r>
        <w:drawing>
          <wp:inline distT="0" distB="0" distL="0" distR="0">
            <wp:extent cx="5394960" cy="2708313"/>
            <wp:effectExtent t="0" r="0" b="0" l="0"/>
            <wp:docPr id="1" name="fig04_network.png" descr="Figure 4. (a) K-means service regions, real recycler districts and MILP-selected hubs; (b) annual cost and CO2e by scenario" title="Figure 4. (a) K-means service regions, real recycler districts and MILP-selected hubs; (b) annual cost and CO2e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4960" cy="2708313"/>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4. (a) K-means service regions, real recycler districts and MILP-selected hubs; (b) annual cost and CO2e by scenario</w:t>
      </w:r>
    </w:p>
    <w:p>
      <w:pPr>
        <w:keepNext/>
        <w:spacing w:after="50" w:before="100"/>
      </w:pPr>
      <w:r>
        <w:rPr>
          <w:rFonts w:ascii="Times New Roman" w:cs="Times New Roman" w:eastAsia="Times New Roman" w:hAnsi="Times New Roman"/>
          <w:b/>
          <w:bCs/>
          <w:color w:val="1B4332"/>
          <w:sz w:val="20"/>
          <w:szCs w:val="20"/>
        </w:rPr>
        <w:t xml:space="preserve">Table 7. Network scenarios for a 2,400 t/yr portfolio (recyclers = real CPCB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2031"/>
        <w:gridCol w:w="1580"/>
      </w:tblGrid>
      <w:tr>
        <w:trPr>
          <w:tblHeader/>
        </w:trPr>
        <w:tc>
          <w:tcPr>
            <w:tcW w:type="dxa" w:w="361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Metric (per year)</w:t>
            </w:r>
          </w:p>
        </w:tc>
        <w:tc>
          <w:tcPr>
            <w:tcW w:type="dxa" w:w="1805"/>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S0 Central vendor</w:t>
            </w:r>
          </w:p>
        </w:tc>
        <w:tc>
          <w:tcPr>
            <w:tcW w:type="dxa" w:w="2031"/>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S1 Hubs + north recyclers</w:t>
            </w:r>
          </w:p>
        </w:tc>
        <w:tc>
          <w:tcPr>
            <w:tcW w:type="dxa" w:w="158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S2 Optimised</w:t>
            </w:r>
          </w:p>
        </w:tc>
      </w:tr>
      <w:tr>
        <w:trPr>
          <w:cantSplit/>
        </w:trPr>
        <w:tc>
          <w:tcPr>
            <w:tcW w:type="dxa" w:w="361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Total logistics cost (Rs crore)</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7.41</w:t>
            </w:r>
          </w:p>
        </w:tc>
        <w:tc>
          <w:tcPr>
            <w:tcW w:type="dxa" w:w="203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5.34</w:t>
            </w:r>
          </w:p>
        </w:tc>
        <w:tc>
          <w:tcPr>
            <w:tcW w:type="dxa" w:w="158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4.39</w:t>
            </w:r>
          </w:p>
        </w:tc>
      </w:tr>
      <w:tr>
        <w:trPr>
          <w:cantSplit/>
        </w:trPr>
        <w:tc>
          <w:tcPr>
            <w:tcW w:type="dxa" w:w="361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Tonne-km (million)</w:t>
            </w:r>
          </w:p>
        </w:tc>
        <w:tc>
          <w:tcPr>
            <w:tcW w:type="dxa" w:w="180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3.46</w:t>
            </w:r>
          </w:p>
        </w:tc>
        <w:tc>
          <w:tcPr>
            <w:tcW w:type="dxa" w:w="203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1.89</w:t>
            </w:r>
          </w:p>
        </w:tc>
        <w:tc>
          <w:tcPr>
            <w:tcW w:type="dxa" w:w="158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0.71</w:t>
            </w:r>
          </w:p>
        </w:tc>
      </w:tr>
      <w:tr>
        <w:trPr>
          <w:cantSplit/>
        </w:trPr>
        <w:tc>
          <w:tcPr>
            <w:tcW w:type="dxa" w:w="361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Data-bearing tonne-km (million)</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3.46</w:t>
            </w:r>
          </w:p>
        </w:tc>
        <w:tc>
          <w:tcPr>
            <w:tcW w:type="dxa" w:w="203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0.67</w:t>
            </w:r>
          </w:p>
        </w:tc>
        <w:tc>
          <w:tcPr>
            <w:tcW w:type="dxa" w:w="158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0.66</w:t>
            </w:r>
          </w:p>
        </w:tc>
      </w:tr>
      <w:tr>
        <w:trPr>
          <w:cantSplit/>
        </w:trPr>
        <w:tc>
          <w:tcPr>
            <w:tcW w:type="dxa" w:w="361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Transport CO2e (tonnes)</w:t>
            </w:r>
          </w:p>
        </w:tc>
        <w:tc>
          <w:tcPr>
            <w:tcW w:type="dxa" w:w="180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691</w:t>
            </w:r>
          </w:p>
        </w:tc>
        <w:tc>
          <w:tcPr>
            <w:tcW w:type="dxa" w:w="203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268</w:t>
            </w:r>
          </w:p>
        </w:tc>
        <w:tc>
          <w:tcPr>
            <w:tcW w:type="dxa" w:w="158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137</w:t>
            </w:r>
          </w:p>
        </w:tc>
      </w:tr>
      <w:tr>
        <w:trPr>
          <w:cantSplit/>
        </w:trPr>
        <w:tc>
          <w:tcPr>
            <w:tcW w:type="dxa" w:w="361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Average onward haul to recycler (km)</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1,440</w:t>
            </w:r>
          </w:p>
        </w:tc>
        <w:tc>
          <w:tcPr>
            <w:tcW w:type="dxa" w:w="203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1,135</w:t>
            </w:r>
          </w:p>
        </w:tc>
        <w:tc>
          <w:tcPr>
            <w:tcW w:type="dxa" w:w="158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41</w:t>
            </w:r>
          </w:p>
        </w:tc>
      </w:tr>
    </w:tbl>
    <w:p>
      <w:pPr>
        <w:spacing w:after="140" w:before="30" w:line="250"/>
      </w:pPr>
      <w:r>
        <w:rPr>
          <w:rFonts w:ascii="Times New Roman" w:cs="Times New Roman" w:eastAsia="Times New Roman" w:hAnsi="Times New Roman"/>
          <w:i/>
          <w:iCs/>
          <w:color w:val="555555"/>
          <w:sz w:val="17"/>
          <w:szCs w:val="17"/>
        </w:rPr>
        <w:t xml:space="preserve">S0 vendor located in Gautam Buddha Nagar (a real recycler cluster). S2 hubs: Bengaluru, Pune, Gurugram. Assumptions in Annex C; sensitivity in Annex D.</w:t>
      </w:r>
    </w:p>
    <w:p>
      <w:pPr>
        <w:spacing w:after="100" w:before="0" w:line="360"/>
        <w:jc w:val="both"/>
      </w:pPr>
      <w:r>
        <w:rPr>
          <w:rFonts w:ascii="Times New Roman" w:cs="Times New Roman" w:eastAsia="Times New Roman" w:hAnsi="Times New Roman"/>
          <w:sz w:val="24"/>
          <w:szCs w:val="24"/>
        </w:rPr>
        <w:t xml:space="preserve">The recycler side of the model is the </w:t>
      </w:r>
      <w:r>
        <w:rPr>
          <w:rFonts w:ascii="Times New Roman" w:cs="Times New Roman" w:eastAsia="Times New Roman" w:hAnsi="Times New Roman"/>
          <w:b/>
          <w:bCs/>
          <w:sz w:val="24"/>
          <w:szCs w:val="24"/>
        </w:rPr>
        <w:t xml:space="preserve">real CPCB network</w:t>
      </w:r>
      <w:r>
        <w:rPr>
          <w:rFonts w:ascii="Times New Roman" w:cs="Times New Roman" w:eastAsia="Times New Roman" w:hAnsi="Times New Roman"/>
          <w:sz w:val="24"/>
          <w:szCs w:val="24"/>
        </w:rPr>
        <w:t xml:space="preserve">: 107 districts with registered capacity, of which a conservative 2% is assumed contestable by this portfolio. K-means on client sites (k = 6, silhouette 0.872) recovers six service regions centred near Pune, Gurugram, Bengaluru, Kolkata, Hyderabad and Chennai, validating the candidate hubs. The MILP opens three hubs and routes sanitised material to registered recyclers in Bangalore Urban and Rural, Pune and Faridabad, cutting the average onward haul from 1,440 km to about 41 km. </w:t>
      </w:r>
      <w:r>
        <w:rPr>
          <w:rFonts w:ascii="Times New Roman" w:cs="Times New Roman" w:eastAsia="Times New Roman" w:hAnsi="Times New Roman"/>
          <w:b/>
          <w:bCs/>
          <w:sz w:val="24"/>
          <w:szCs w:val="24"/>
        </w:rPr>
        <w:t xml:space="preserve">Consolidating and sanitising near source</w:t>
      </w:r>
      <w:r>
        <w:rPr>
          <w:rFonts w:ascii="Times New Roman" w:cs="Times New Roman" w:eastAsia="Times New Roman" w:hAnsi="Times New Roman"/>
          <w:sz w:val="24"/>
          <w:szCs w:val="24"/>
        </w:rPr>
        <w:t xml:space="preserve"> (S0 to S1) saves Rs 2.07 Cr; </w:t>
      </w:r>
      <w:r>
        <w:rPr>
          <w:rFonts w:ascii="Times New Roman" w:cs="Times New Roman" w:eastAsia="Times New Roman" w:hAnsi="Times New Roman"/>
          <w:b/>
          <w:bCs/>
          <w:sz w:val="24"/>
          <w:szCs w:val="24"/>
        </w:rPr>
        <w:t xml:space="preserve">using regional registered recyclers</w:t>
      </w:r>
      <w:r>
        <w:rPr>
          <w:rFonts w:ascii="Times New Roman" w:cs="Times New Roman" w:eastAsia="Times New Roman" w:hAnsi="Times New Roman"/>
          <w:sz w:val="24"/>
          <w:szCs w:val="24"/>
        </w:rPr>
        <w:t xml:space="preserve"> (S1 to S2) saves a further Rs 0.95 Cr and halves emissions again. The same three hubs win when freight or fixed costs move 30% either way (savings 28.3% to 49.8%); only in the adverse combined case does the optimiser switch to Pune and Chennai, still saving 23.2%.</w:t>
      </w:r>
    </w:p>
    <w:p>
      <w:pPr>
        <w:pStyle w:val="Heading2"/>
        <w:keepNext/>
        <w:spacing w:after="60" w:before="120" w:line="300"/>
      </w:pPr>
      <w:r>
        <w:rPr>
          <w:rFonts w:ascii="Times New Roman" w:cs="Times New Roman" w:eastAsia="Times New Roman" w:hAnsi="Times New Roman"/>
          <w:b/>
          <w:bCs/>
          <w:color w:val="2D6A4F"/>
          <w:sz w:val="24"/>
          <w:szCs w:val="24"/>
        </w:rPr>
        <w:t xml:space="preserve">5.5 First-mile milk-runs</w:t>
      </w:r>
    </w:p>
    <w:p>
      <w:pPr>
        <w:spacing w:after="100" w:before="0" w:line="360"/>
        <w:jc w:val="both"/>
      </w:pPr>
      <w:r>
        <w:rPr>
          <w:rFonts w:ascii="Times New Roman" w:cs="Times New Roman" w:eastAsia="Times New Roman" w:hAnsi="Times New Roman"/>
          <w:sz w:val="24"/>
          <w:szCs w:val="24"/>
        </w:rPr>
        <w:t xml:space="preserve">As Figure D3 (Annex D) shows, today each pickup ticket triggers a dedicated round trip, with vans 24.7% full on average. Batching a week's 20 tickets into 6 capacitated routes cuts vehicle-km by </w:t>
      </w:r>
      <w:r>
        <w:rPr>
          <w:rFonts w:ascii="Times New Roman" w:cs="Times New Roman" w:eastAsia="Times New Roman" w:hAnsi="Times New Roman"/>
          <w:b/>
          <w:bCs/>
          <w:sz w:val="24"/>
          <w:szCs w:val="24"/>
        </w:rPr>
        <w:t xml:space="preserve">65%</w:t>
      </w:r>
      <w:r>
        <w:rPr>
          <w:rFonts w:ascii="Times New Roman" w:cs="Times New Roman" w:eastAsia="Times New Roman" w:hAnsi="Times New Roman"/>
          <w:sz w:val="24"/>
          <w:szCs w:val="24"/>
        </w:rPr>
        <w:t xml:space="preserve"> (1,364 to 478 km) and lifts utilisation to 82.5%, saving about Rs 12.41 lakh and 12 t CO2e a year in Pune alone. The trade-off is service time, which is managed by a weekly pickup SLA.</w:t>
      </w:r>
    </w:p>
    <w:p>
      <w:pPr>
        <w:pStyle w:val="Heading2"/>
        <w:keepNext/>
        <w:spacing w:after="60" w:before="120" w:line="300"/>
      </w:pPr>
      <w:r>
        <w:rPr>
          <w:rFonts w:ascii="Times New Roman" w:cs="Times New Roman" w:eastAsia="Times New Roman" w:hAnsi="Times New Roman"/>
          <w:b/>
          <w:bCs/>
          <w:color w:val="2D6A4F"/>
          <w:sz w:val="24"/>
          <w:szCs w:val="24"/>
        </w:rPr>
        <w:t xml:space="preserve">5.6 Risk prioritisation</w:t>
      </w:r>
    </w:p>
    <w:p>
      <w:pPr>
        <w:keepNext/>
        <w:spacing w:after="20" w:before="60"/>
        <w:jc w:val="center"/>
      </w:pPr>
      <w:r>
        <w:drawing>
          <wp:inline distT="0" distB="0" distL="0" distR="0">
            <wp:extent cx="5486400" cy="1915798"/>
            <wp:effectExtent t="0" r="0" b="0" l="0"/>
            <wp:docPr id="1" name="fig06_fuzzy_fmea.png" descr="Figure 6. (a) Fuzzy FMEA from practitioner ratings; (b) rank shift from the AI-simulated panel to real practitioners" title="Figure 6. (a) Fuzzy FMEA from practitioner ratings; (b) rank shift from the AI-simulated panel to real practitio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15798"/>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6. (a) Fuzzy FMEA from practitioner ratings; (b) rank shift from the AI-simulated panel to real practitioners</w:t>
      </w:r>
    </w:p>
    <w:p>
      <w:pPr>
        <w:spacing w:after="100" w:before="0" w:line="360"/>
        <w:jc w:val="both"/>
      </w:pPr>
      <w:r>
        <w:rPr>
          <w:rFonts w:ascii="Times New Roman" w:cs="Times New Roman" w:eastAsia="Times New Roman" w:hAnsi="Times New Roman"/>
          <w:sz w:val="24"/>
          <w:szCs w:val="24"/>
        </w:rPr>
        <w:t xml:space="preserve">Ten failure modes were rated by an anonymous practitioner panel (4 responses; 3 used after removing one straight-lined response; weights by experience: two experts with 15+ years, one with under 5). The top three risks are </w:t>
      </w:r>
      <w:r>
        <w:rPr>
          <w:rFonts w:ascii="Times New Roman" w:cs="Times New Roman" w:eastAsia="Times New Roman" w:hAnsi="Times New Roman"/>
          <w:b/>
          <w:bCs/>
          <w:sz w:val="24"/>
          <w:szCs w:val="24"/>
        </w:rPr>
        <w:t xml:space="preserve">leakage to informal scrap channels (R2)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return-volume surges during refresh cycles (R7)</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in-transit data breach (R1)</w:t>
      </w:r>
      <w:r>
        <w:rPr>
          <w:rFonts w:ascii="Times New Roman" w:cs="Times New Roman" w:eastAsia="Times New Roman" w:hAnsi="Times New Roman"/>
          <w:sz w:val="24"/>
          <w:szCs w:val="24"/>
        </w:rPr>
        <w:t xml:space="preserve">. The ranking is robust to method (fuzzy vs crisp rank correlation 0.93) and to including the excluded response (rho 0.99). Two failure modes, R2 and R1, carry severity of 7 or more; under a </w:t>
      </w:r>
      <w:r>
        <w:rPr>
          <w:rFonts w:ascii="Times New Roman" w:cs="Times New Roman" w:eastAsia="Times New Roman" w:hAnsi="Times New Roman"/>
          <w:b/>
          <w:bCs/>
          <w:sz w:val="24"/>
          <w:szCs w:val="24"/>
        </w:rPr>
        <w:t xml:space="preserve">severity override</w:t>
      </w:r>
      <w:r>
        <w:rPr>
          <w:rFonts w:ascii="Times New Roman" w:cs="Times New Roman" w:eastAsia="Times New Roman" w:hAnsi="Times New Roman"/>
          <w:sz w:val="24"/>
          <w:szCs w:val="24"/>
        </w:rPr>
        <w:t xml:space="preserve"> they are treated as critical regardless of RPN, since RPN under-weights rare but catastrophic events (Liu et al., 2013).</w:t>
      </w:r>
    </w:p>
    <w:p>
      <w:pPr>
        <w:spacing w:after="100" w:before="0" w:line="360"/>
        <w:jc w:val="both"/>
      </w:pPr>
      <w:r>
        <w:rPr>
          <w:rFonts w:ascii="Times New Roman" w:cs="Times New Roman" w:eastAsia="Times New Roman" w:hAnsi="Times New Roman"/>
          <w:sz w:val="24"/>
          <w:szCs w:val="24"/>
        </w:rPr>
        <w:t xml:space="preserve">The comparison with the earlier AI-simulated panel is itself a finding (Figure 6b): the rank correlation is only </w:t>
      </w:r>
      <w:r>
        <w:rPr>
          <w:rFonts w:ascii="Times New Roman" w:cs="Times New Roman" w:eastAsia="Times New Roman" w:hAnsi="Times New Roman"/>
          <w:b/>
          <w:bCs/>
          <w:sz w:val="24"/>
          <w:szCs w:val="24"/>
        </w:rPr>
        <w:t xml:space="preserve">0.1</w:t>
      </w:r>
      <w:r>
        <w:rPr>
          <w:rFonts w:ascii="Times New Roman" w:cs="Times New Roman" w:eastAsia="Times New Roman" w:hAnsi="Times New Roman"/>
          <w:sz w:val="24"/>
          <w:szCs w:val="24"/>
        </w:rPr>
        <w:t xml:space="preserve">. The simulated experts agreed on the dramatic risks (breach, leakage) but placed refresh-cycle surges ninth, where practitioners place them second, and over-rated chain-of-custody gaps, which practitioners consider well controlled by existing serial tracking. Practitioners also rated mis-grading (R6) as the lowest risk, which helps explain why value leakage persists: what is not seen as a risk is not managed. </w:t>
      </w:r>
      <w:r>
        <w:rPr>
          <w:rFonts w:ascii="Times New Roman" w:cs="Times New Roman" w:eastAsia="Times New Roman" w:hAnsi="Times New Roman"/>
          <w:b/>
          <w:bCs/>
          <w:sz w:val="24"/>
          <w:szCs w:val="24"/>
        </w:rPr>
        <w:t xml:space="preserve">Implications:</w:t>
      </w:r>
      <w:r>
        <w:rPr>
          <w:rFonts w:ascii="Times New Roman" w:cs="Times New Roman" w:eastAsia="Times New Roman" w:hAnsi="Times New Roman"/>
          <w:sz w:val="24"/>
          <w:szCs w:val="24"/>
        </w:rPr>
        <w:t xml:space="preserve"> the S2 design already addresses R1 and R2 by wiping and serial-verifying within one short leg; R7 calls for refresh-calendar agreements with clients and modular, leased hub capacity (Section 5.2); and R6 makes the case for measuring recovered value explicitly on the control-tower dashboard.</w:t>
      </w:r>
    </w:p>
    <w:p>
      <w:pPr>
        <w:pStyle w:val="Heading1"/>
        <w:keepNext/>
        <w:spacing w:after="100" w:before="200" w:line="300"/>
      </w:pPr>
      <w:r>
        <w:rPr>
          <w:rFonts w:ascii="Times New Roman" w:cs="Times New Roman" w:eastAsia="Times New Roman" w:hAnsi="Times New Roman"/>
          <w:b/>
          <w:bCs/>
          <w:color w:val="1B4332"/>
          <w:sz w:val="28"/>
          <w:szCs w:val="28"/>
        </w:rPr>
        <w:t xml:space="preserve">6. Managerial Recommendations</w:t>
      </w:r>
    </w:p>
    <w:p>
      <w:pPr>
        <w:pStyle w:val="Heading2"/>
        <w:keepNext/>
        <w:spacing w:after="60" w:before="120" w:line="300"/>
      </w:pPr>
      <w:r>
        <w:rPr>
          <w:rFonts w:ascii="Times New Roman" w:cs="Times New Roman" w:eastAsia="Times New Roman" w:hAnsi="Times New Roman"/>
          <w:b/>
          <w:bCs/>
          <w:color w:val="2D6A4F"/>
          <w:sz w:val="24"/>
          <w:szCs w:val="24"/>
        </w:rPr>
        <w:t xml:space="preserve">6.1 Strategic insights</w:t>
      </w:r>
    </w:p>
    <w:p>
      <w:pPr>
        <w:pStyle w:val="ListParagraph"/>
        <w:numPr>
          <w:ilvl w:val="0"/>
          <w:numId w:val="2"/>
        </w:numPr>
        <w:spacing w:after="40" w:line="336"/>
        <w:jc w:val="both"/>
      </w:pPr>
      <w:r>
        <w:rPr>
          <w:rFonts w:ascii="Times New Roman" w:cs="Times New Roman" w:eastAsia="Times New Roman" w:hAnsi="Times New Roman"/>
          <w:b/>
          <w:bCs/>
          <w:sz w:val="24"/>
          <w:szCs w:val="24"/>
        </w:rPr>
        <w:t xml:space="preserve">Move the decision, not the asset.</w:t>
      </w:r>
      <w:r>
        <w:rPr>
          <w:rFonts w:ascii="Times New Roman" w:cs="Times New Roman" w:eastAsia="Times New Roman" w:hAnsi="Times New Roman"/>
          <w:sz w:val="24"/>
          <w:szCs w:val="24"/>
        </w:rPr>
        <w:t xml:space="preserve"> Grade and sanitise at three regional hubs within roughly 300 km of client sites, and feed the idle registered recyclers already in each region. This single design choice lowers freight, carbon and data exposure together, so it needs no trade-off between the CFO, the CISO and the ESG head.</w:t>
      </w:r>
    </w:p>
    <w:p>
      <w:pPr>
        <w:pStyle w:val="ListParagraph"/>
        <w:numPr>
          <w:ilvl w:val="0"/>
          <w:numId w:val="2"/>
        </w:numPr>
        <w:spacing w:after="40" w:line="336"/>
        <w:jc w:val="both"/>
      </w:pPr>
      <w:r>
        <w:rPr>
          <w:rFonts w:ascii="Times New Roman" w:cs="Times New Roman" w:eastAsia="Times New Roman" w:hAnsi="Times New Roman"/>
          <w:b/>
          <w:bCs/>
          <w:sz w:val="24"/>
          <w:szCs w:val="24"/>
        </w:rPr>
        <w:t xml:space="preserve">Value, not freight, is the prize.</w:t>
      </w:r>
      <w:r>
        <w:rPr>
          <w:rFonts w:ascii="Times New Roman" w:cs="Times New Roman" w:eastAsia="Times New Roman" w:hAnsi="Times New Roman"/>
          <w:sz w:val="24"/>
          <w:szCs w:val="24"/>
        </w:rPr>
        <w:t xml:space="preserve"> Logistics redesign is the enabler that pays for itself; AI grading is what makes the programme a business. Investment and management attention should follow that ratio.</w:t>
      </w:r>
    </w:p>
    <w:p>
      <w:pPr>
        <w:pStyle w:val="ListParagraph"/>
        <w:numPr>
          <w:ilvl w:val="0"/>
          <w:numId w:val="2"/>
        </w:numPr>
        <w:spacing w:after="40" w:line="336"/>
        <w:jc w:val="both"/>
      </w:pPr>
      <w:r>
        <w:rPr>
          <w:rFonts w:ascii="Times New Roman" w:cs="Times New Roman" w:eastAsia="Times New Roman" w:hAnsi="Times New Roman"/>
          <w:b/>
          <w:bCs/>
          <w:sz w:val="24"/>
          <w:szCs w:val="24"/>
        </w:rPr>
        <w:t xml:space="preserve">Turn compliance into a product.</w:t>
      </w:r>
      <w:r>
        <w:rPr>
          <w:rFonts w:ascii="Times New Roman" w:cs="Times New Roman" w:eastAsia="Times New Roman" w:hAnsi="Times New Roman"/>
          <w:sz w:val="24"/>
          <w:szCs w:val="24"/>
        </w:rPr>
        <w:t xml:space="preserve"> Serial-level chain of custody, certified destruction and EPR-certificate traceability can be sold to clients as an assured service, differentiating the 3PL in Fugate et al.'s (2010) sense rather than competing on price per tonne.</w:t>
      </w:r>
    </w:p>
    <w:p>
      <w:pPr>
        <w:pStyle w:val="Heading2"/>
        <w:keepNext/>
        <w:spacing w:after="60" w:before="120" w:line="300"/>
      </w:pPr>
      <w:r>
        <w:rPr>
          <w:rFonts w:ascii="Times New Roman" w:cs="Times New Roman" w:eastAsia="Times New Roman" w:hAnsi="Times New Roman"/>
          <w:b/>
          <w:bCs/>
          <w:color w:val="2D6A4F"/>
          <w:sz w:val="24"/>
          <w:szCs w:val="24"/>
        </w:rPr>
        <w:t xml:space="preserve">6.2 Cost-benefit analysis</w:t>
      </w:r>
    </w:p>
    <w:p>
      <w:pPr>
        <w:keepNext/>
        <w:spacing w:after="50" w:before="100"/>
      </w:pPr>
      <w:r>
        <w:rPr>
          <w:rFonts w:ascii="Times New Roman" w:cs="Times New Roman" w:eastAsia="Times New Roman" w:hAnsi="Times New Roman"/>
          <w:b/>
          <w:bCs/>
          <w:color w:val="1B4332"/>
          <w:sz w:val="20"/>
          <w:szCs w:val="20"/>
        </w:rPr>
        <w:t xml:space="preserve">Table 8. Investment and benefits (benefits ramp 40%, 70%, then 85% from 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1"/>
        <w:gridCol w:w="1805"/>
      </w:tblGrid>
      <w:tr>
        <w:trPr>
          <w:tblHeader/>
        </w:trPr>
        <w:tc>
          <w:tcPr>
            <w:tcW w:type="dxa" w:w="7221"/>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Item</w:t>
            </w:r>
          </w:p>
        </w:tc>
        <w:tc>
          <w:tcPr>
            <w:tcW w:type="dxa" w:w="1805"/>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Rs crore</w:t>
            </w:r>
          </w:p>
        </w:tc>
      </w:tr>
      <w:tr>
        <w:trPr>
          <w:cantSplit/>
        </w:trPr>
        <w:tc>
          <w:tcPr>
            <w:tcW w:type="dxa" w:w="722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3 regional ITAD hubs (secure cage, racking, wipe stations, shredder)</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3.30</w:t>
            </w:r>
          </w:p>
        </w:tc>
      </w:tr>
      <w:tr>
        <w:trPr>
          <w:cantSplit/>
        </w:trPr>
        <w:tc>
          <w:tcPr>
            <w:tcW w:type="dxa" w:w="722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AI grading + asset-tracking platform (QR/RFID, control tower)</w:t>
            </w:r>
          </w:p>
        </w:tc>
        <w:tc>
          <w:tcPr>
            <w:tcW w:type="dxa" w:w="180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0.90</w:t>
            </w:r>
          </w:p>
        </w:tc>
      </w:tr>
      <w:tr>
        <w:trPr>
          <w:cantSplit/>
        </w:trPr>
        <w:tc>
          <w:tcPr>
            <w:tcW w:type="dxa" w:w="722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GPS e-locks and IoT trackers for secure vans</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0.25</w:t>
            </w:r>
          </w:p>
        </w:tc>
      </w:tr>
      <w:tr>
        <w:trPr>
          <w:cantSplit/>
        </w:trPr>
        <w:tc>
          <w:tcPr>
            <w:tcW w:type="dxa" w:w="722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Training, SOPs, R2/ISO 27001 certification readiness</w:t>
            </w:r>
          </w:p>
        </w:tc>
        <w:tc>
          <w:tcPr>
            <w:tcW w:type="dxa" w:w="180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0.20</w:t>
            </w:r>
          </w:p>
        </w:tc>
      </w:tr>
      <w:tr>
        <w:trPr>
          <w:cantSplit/>
        </w:trPr>
        <w:tc>
          <w:tcPr>
            <w:tcW w:type="dxa" w:w="722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Contingency (10%)</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0.46</w:t>
            </w:r>
          </w:p>
        </w:tc>
      </w:tr>
      <w:tr>
        <w:trPr>
          <w:cantSplit/>
        </w:trPr>
        <w:tc>
          <w:tcPr>
            <w:tcW w:type="dxa" w:w="722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1F1F1F"/>
                <w:sz w:val="19"/>
                <w:szCs w:val="19"/>
              </w:rPr>
              <w:t xml:space="preserve">Total one-time investment</w:t>
            </w:r>
          </w:p>
        </w:tc>
        <w:tc>
          <w:tcPr>
            <w:tcW w:type="dxa" w:w="180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b/>
                <w:bCs/>
                <w:color w:val="1F1F1F"/>
                <w:sz w:val="19"/>
                <w:szCs w:val="19"/>
              </w:rPr>
              <w:t xml:space="preserve">5.11</w:t>
            </w:r>
          </w:p>
        </w:tc>
      </w:tr>
      <w:tr>
        <w:trPr>
          <w:cantSplit/>
        </w:trPr>
        <w:tc>
          <w:tcPr>
            <w:tcW w:type="dxa" w:w="722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Additional annual running cost (platform, 2 analytics FTE)</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0.75 per year</w:t>
            </w:r>
          </w:p>
        </w:tc>
      </w:tr>
      <w:tr>
        <w:trPr>
          <w:cantSplit/>
        </w:trPr>
        <w:tc>
          <w:tcPr>
            <w:tcW w:type="dxa" w:w="722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Annual network saving (S2 vs S0) + milk-run saving</w:t>
            </w:r>
          </w:p>
        </w:tc>
        <w:tc>
          <w:tcPr>
            <w:tcW w:type="dxa" w:w="180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3.01 + 0.67</w:t>
            </w:r>
          </w:p>
        </w:tc>
      </w:tr>
      <w:tr>
        <w:trPr>
          <w:cantSplit/>
        </w:trPr>
        <w:tc>
          <w:tcPr>
            <w:tcW w:type="dxa" w:w="722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Annual value-recovery uplift, full model / counted in base case (50%)</w:t>
            </w:r>
          </w:p>
        </w:tc>
        <w:tc>
          <w:tcPr>
            <w:tcW w:type="dxa" w:w="180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right"/>
            </w:pPr>
            <w:r>
              <w:rPr>
                <w:rFonts w:ascii="Times New Roman" w:cs="Times New Roman" w:eastAsia="Times New Roman" w:hAnsi="Times New Roman"/>
                <w:color w:val="1F1F1F"/>
                <w:sz w:val="19"/>
                <w:szCs w:val="19"/>
              </w:rPr>
              <w:t xml:space="preserve">43.3 / 21.65</w:t>
            </w:r>
          </w:p>
        </w:tc>
      </w:tr>
    </w:tbl>
    <w:p>
      <w:pPr>
        <w:spacing w:after="100"/>
      </w:pPr>
    </w:p>
    <w:p>
      <w:pPr>
        <w:keepNext/>
        <w:spacing w:after="20" w:before="60"/>
        <w:jc w:val="center"/>
      </w:pPr>
      <w:r>
        <w:drawing>
          <wp:inline distT="0" distB="0" distL="0" distR="0">
            <wp:extent cx="4937760" cy="2180042"/>
            <wp:effectExtent t="0" r="0" b="0" l="0"/>
            <wp:docPr id="1" name="fig07_cost_benefit.png" descr="Figure 7. (a) Base-case cash flow; (b) five-year NPV at 12% under benefit scenarios" title="Figure 7. (a) Base-case cash flow; (b) five-year NPV at 12% under benefit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7760" cy="2180042"/>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7. (a) Base-case cash flow; (b) five-year NPV at 12% under benefit scenarios</w:t>
      </w:r>
    </w:p>
    <w:p>
      <w:pPr>
        <w:spacing w:after="100" w:before="0" w:line="360"/>
        <w:jc w:val="both"/>
      </w:pPr>
      <w:r>
        <w:rPr>
          <w:rFonts w:ascii="Times New Roman" w:cs="Times New Roman" w:eastAsia="Times New Roman" w:hAnsi="Times New Roman"/>
          <w:sz w:val="24"/>
          <w:szCs w:val="24"/>
        </w:rPr>
        <w:t xml:space="preserve">Even the conservative case (25% of the modelled uplift and 80% of freight savings) returns NPV of Rs 27.19 Cr with a 12.5-month payback. The decision rule for leadership is simple: approve if the pilot shows that AI grading captures at least a quarter of its modelled uplift on real assets.</w:t>
      </w:r>
    </w:p>
    <w:p>
      <w:pPr>
        <w:pStyle w:val="Heading2"/>
        <w:keepNext/>
        <w:spacing w:after="60" w:before="120" w:line="300"/>
      </w:pPr>
      <w:r>
        <w:rPr>
          <w:rFonts w:ascii="Times New Roman" w:cs="Times New Roman" w:eastAsia="Times New Roman" w:hAnsi="Times New Roman"/>
          <w:b/>
          <w:bCs/>
          <w:color w:val="2D6A4F"/>
          <w:sz w:val="24"/>
          <w:szCs w:val="24"/>
        </w:rPr>
        <w:t xml:space="preserve">6.3 Short-term and long-term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0"/>
        <w:gridCol w:w="7446"/>
      </w:tblGrid>
      <w:tr>
        <w:trPr>
          <w:tblHeader/>
        </w:trPr>
        <w:tc>
          <w:tcPr>
            <w:tcW w:type="dxa" w:w="158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Horizon</w:t>
            </w:r>
          </w:p>
        </w:tc>
        <w:tc>
          <w:tcPr>
            <w:tcW w:type="dxa" w:w="7446"/>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Actions</w:t>
            </w:r>
          </w:p>
        </w:tc>
      </w:tr>
      <w:tr>
        <w:trPr>
          <w:cantSplit/>
        </w:trPr>
        <w:tc>
          <w:tcPr>
            <w:tcW w:type="dxa" w:w="158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0-6 months</w:t>
            </w:r>
          </w:p>
        </w:tc>
        <w:tc>
          <w:tcPr>
            <w:tcW w:type="dxa" w:w="7446"/>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Pune pilot hub and milk-runs; AI grading in shadow mode on the real asset register; secure vans with GPS e-locks; chain-of-custody SOP; refresh-calendar agreements with clients to smooth return surges (R7)</w:t>
            </w:r>
          </w:p>
        </w:tc>
      </w:tr>
      <w:tr>
        <w:trPr>
          <w:cantSplit/>
        </w:trPr>
        <w:tc>
          <w:tcPr>
            <w:tcW w:type="dxa" w:w="158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6-15 months</w:t>
            </w:r>
          </w:p>
        </w:tc>
        <w:tc>
          <w:tcPr>
            <w:tcW w:type="dxa" w:w="7446"/>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Bengaluru and Gurugram hubs; volume contracts with under-used registered recyclers (two per region); grading live with human override; EPR auto-reporting; R2v3 and ISO 27001 certification</w:t>
            </w:r>
          </w:p>
        </w:tc>
      </w:tr>
      <w:tr>
        <w:trPr>
          <w:cantSplit/>
        </w:trPr>
        <w:tc>
          <w:tcPr>
            <w:tcW w:type="dxa" w:w="158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15+ months</w:t>
            </w:r>
          </w:p>
        </w:tc>
        <w:tc>
          <w:tcPr>
            <w:tcW w:type="dxa" w:w="7446"/>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Offer certified-ITAD-as-a-service to new clients; retrain models quarterly; formalise informal collectors as accredited partners; evaluate a fourth hub if the FY30 band materialises</w:t>
            </w:r>
          </w:p>
        </w:tc>
      </w:tr>
    </w:tbl>
    <w:p>
      <w:pPr>
        <w:spacing w:after="100"/>
      </w:pPr>
    </w:p>
    <w:p>
      <w:pPr>
        <w:pStyle w:val="Heading2"/>
        <w:keepNext/>
        <w:spacing w:after="60" w:before="120" w:line="300"/>
      </w:pPr>
      <w:r>
        <w:rPr>
          <w:rFonts w:ascii="Times New Roman" w:cs="Times New Roman" w:eastAsia="Times New Roman" w:hAnsi="Times New Roman"/>
          <w:b/>
          <w:bCs/>
          <w:color w:val="2D6A4F"/>
          <w:sz w:val="24"/>
          <w:szCs w:val="24"/>
        </w:rPr>
        <w:t xml:space="preserve">6.4 Change management</w:t>
      </w:r>
    </w:p>
    <w:p>
      <w:pPr>
        <w:spacing w:after="100" w:before="0" w:line="360"/>
        <w:jc w:val="both"/>
      </w:pPr>
      <w:r>
        <w:rPr>
          <w:rFonts w:ascii="Times New Roman" w:cs="Times New Roman" w:eastAsia="Times New Roman" w:hAnsi="Times New Roman"/>
          <w:sz w:val="24"/>
          <w:szCs w:val="24"/>
        </w:rPr>
        <w:t xml:space="preserve">The largest change is contractual, not technical: procurement moves from one national vendor to a 4PL-orchestrated network, so the CISO must co-own vendor selection. Graders need upskilling to read model outputs and override them with a reason code; the override log becomes training data. Following the scenario-first lesson of the Zhiyuanhui case (Session 20), every phase is justified by an operating scenario and a KPI gate, not by the technology itself.</w:t>
      </w:r>
    </w:p>
    <w:p>
      <w:pPr>
        <w:pStyle w:val="Heading1"/>
        <w:keepNext/>
        <w:spacing w:after="100" w:before="200" w:line="300"/>
      </w:pPr>
      <w:r>
        <w:rPr>
          <w:rFonts w:ascii="Times New Roman" w:cs="Times New Roman" w:eastAsia="Times New Roman" w:hAnsi="Times New Roman"/>
          <w:b/>
          <w:bCs/>
          <w:color w:val="1B4332"/>
          <w:sz w:val="28"/>
          <w:szCs w:val="28"/>
        </w:rPr>
        <w:t xml:space="preserve">7. Implementation Roadmap</w:t>
      </w:r>
    </w:p>
    <w:p>
      <w:pPr>
        <w:keepNext/>
        <w:spacing w:after="20" w:before="60"/>
        <w:jc w:val="center"/>
      </w:pPr>
      <w:r>
        <w:drawing>
          <wp:inline distT="0" distB="0" distL="0" distR="0">
            <wp:extent cx="5303520" cy="1926809"/>
            <wp:effectExtent t="0" r="0" b="0" l="0"/>
            <wp:docPr id="1" name="fig08_gantt.png" descr="Figure 8. Fifteen-month stage-gated implementation plan" title="Figure 8. Fifteen-month stage-gated implementa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3520" cy="1926809"/>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8. Fifteen-month stage-gated implementation plan</w:t>
      </w:r>
    </w:p>
    <w:p>
      <w:pPr>
        <w:spacing w:after="100" w:before="0" w:line="360"/>
        <w:jc w:val="both"/>
      </w:pPr>
      <w:r>
        <w:rPr>
          <w:rFonts w:ascii="Times New Roman" w:cs="Times New Roman" w:eastAsia="Times New Roman" w:hAnsi="Times New Roman"/>
          <w:b/>
          <w:bCs/>
          <w:sz w:val="24"/>
          <w:szCs w:val="24"/>
        </w:rPr>
        <w:t xml:space="preserve">Resources.</w:t>
      </w:r>
      <w:r>
        <w:rPr>
          <w:rFonts w:ascii="Times New Roman" w:cs="Times New Roman" w:eastAsia="Times New Roman" w:hAnsi="Times New Roman"/>
          <w:sz w:val="24"/>
          <w:szCs w:val="24"/>
        </w:rPr>
        <w:t xml:space="preserve"> People: a programme lead, three hub managers, two data scientists, 20 to 30 graders and technicians per hub, and a security and compliance officer. Technology: QR/RFID asset tracking, the grading-model service, an OR-Tools planning engine, the control-tower dashboard and GPS e-locks. Capital: Rs 5.11 Cr one-time, with hubs leased rather than owned to preserve flexibility against the forecast band. Training: NIST 800-88 sanitisation, Li-ion handling (UN3480), the model-override protocol and DPDP Act obligations. Implementation risks and mitigations are listed in Annex D (Table D3); the most important gate is that the model goes live only if it captures at least 25% of its modelled value in shadow mode.</w:t>
      </w:r>
    </w:p>
    <w:p>
      <w:pPr>
        <w:pStyle w:val="Heading1"/>
        <w:keepNext/>
        <w:spacing w:after="100" w:before="200" w:line="300"/>
      </w:pPr>
      <w:r>
        <w:rPr>
          <w:rFonts w:ascii="Times New Roman" w:cs="Times New Roman" w:eastAsia="Times New Roman" w:hAnsi="Times New Roman"/>
          <w:b/>
          <w:bCs/>
          <w:color w:val="1B4332"/>
          <w:sz w:val="28"/>
          <w:szCs w:val="28"/>
        </w:rPr>
        <w:t xml:space="preserve">8. Ethical, Legal and Bias Considerations</w:t>
      </w:r>
    </w:p>
    <w:p>
      <w:pPr>
        <w:pStyle w:val="ListParagraph"/>
        <w:numPr>
          <w:ilvl w:val="0"/>
          <w:numId w:val="3"/>
        </w:numPr>
        <w:spacing w:after="40" w:line="336"/>
        <w:jc w:val="both"/>
      </w:pPr>
      <w:r>
        <w:rPr>
          <w:rFonts w:ascii="Times New Roman" w:cs="Times New Roman" w:eastAsia="Times New Roman" w:hAnsi="Times New Roman"/>
          <w:b/>
          <w:bCs/>
          <w:sz w:val="24"/>
          <w:szCs w:val="24"/>
        </w:rPr>
        <w:t xml:space="preserve">Responsible AI.</w:t>
      </w:r>
      <w:r>
        <w:rPr>
          <w:rFonts w:ascii="Times New Roman" w:cs="Times New Roman" w:eastAsia="Times New Roman" w:hAnsi="Times New Roman"/>
          <w:sz w:val="24"/>
          <w:szCs w:val="24"/>
        </w:rPr>
        <w:t xml:space="preserve"> The grading model recommends; a trained grader decides. Every override is logged with a reason code, keeping accountability with a person and building an audit trail.</w:t>
      </w:r>
    </w:p>
    <w:p>
      <w:pPr>
        <w:pStyle w:val="ListParagraph"/>
        <w:numPr>
          <w:ilvl w:val="0"/>
          <w:numId w:val="3"/>
        </w:numPr>
        <w:spacing w:after="40" w:line="336"/>
        <w:jc w:val="both"/>
      </w:pPr>
      <w:r>
        <w:rPr>
          <w:rFonts w:ascii="Times New Roman" w:cs="Times New Roman" w:eastAsia="Times New Roman" w:hAnsi="Times New Roman"/>
          <w:b/>
          <w:bCs/>
          <w:sz w:val="24"/>
          <w:szCs w:val="24"/>
        </w:rPr>
        <w:t xml:space="preserve">Bias.</w:t>
      </w:r>
      <w:r>
        <w:rPr>
          <w:rFonts w:ascii="Times New Roman" w:cs="Times New Roman" w:eastAsia="Times New Roman" w:hAnsi="Times New Roman"/>
          <w:sz w:val="24"/>
          <w:szCs w:val="24"/>
        </w:rPr>
        <w:t xml:space="preserve"> The synthetic data encodes my own assumptions about how assets should be graded, so the model can only be as good as that logic until retrained on real outcomes. The brand-tier feature could systematically down-grade lower-cost brands; its effect will be monitored, and it will be dropped if it does not add predictive value on real data.</w:t>
      </w:r>
    </w:p>
    <w:p>
      <w:pPr>
        <w:pStyle w:val="ListParagraph"/>
        <w:numPr>
          <w:ilvl w:val="0"/>
          <w:numId w:val="3"/>
        </w:numPr>
        <w:spacing w:after="40" w:line="336"/>
        <w:jc w:val="both"/>
      </w:pPr>
      <w:r>
        <w:rPr>
          <w:rFonts w:ascii="Times New Roman" w:cs="Times New Roman" w:eastAsia="Times New Roman" w:hAnsi="Times New Roman"/>
          <w:b/>
          <w:bCs/>
          <w:sz w:val="24"/>
          <w:szCs w:val="24"/>
        </w:rPr>
        <w:t xml:space="preserve">Hallucination risk.</w:t>
      </w:r>
      <w:r>
        <w:rPr>
          <w:rFonts w:ascii="Times New Roman" w:cs="Times New Roman" w:eastAsia="Times New Roman" w:hAnsi="Times New Roman"/>
          <w:sz w:val="24"/>
          <w:szCs w:val="24"/>
        </w:rPr>
        <w:t xml:space="preserve"> Generative AI was not allowed to originate numbers or references. Every figure is produced by code; every citation was checked against its source. The AI-simulated expert panel was replaced by real practitioner ratings; the low agreement between the two (rho 0.1) is reported as evidence that AI judgement cannot substitute for field knowledge.</w:t>
      </w:r>
    </w:p>
    <w:p>
      <w:pPr>
        <w:pStyle w:val="ListParagraph"/>
        <w:numPr>
          <w:ilvl w:val="0"/>
          <w:numId w:val="3"/>
        </w:numPr>
        <w:spacing w:after="40" w:line="336"/>
        <w:jc w:val="both"/>
      </w:pPr>
      <w:r>
        <w:rPr>
          <w:rFonts w:ascii="Times New Roman" w:cs="Times New Roman" w:eastAsia="Times New Roman" w:hAnsi="Times New Roman"/>
          <w:b/>
          <w:bCs/>
          <w:sz w:val="24"/>
          <w:szCs w:val="24"/>
        </w:rPr>
        <w:t xml:space="preserve">Data privacy and law.</w:t>
      </w:r>
      <w:r>
        <w:rPr>
          <w:rFonts w:ascii="Times New Roman" w:cs="Times New Roman" w:eastAsia="Times New Roman" w:hAnsi="Times New Roman"/>
          <w:sz w:val="24"/>
          <w:szCs w:val="24"/>
        </w:rPr>
        <w:t xml:space="preserve"> Asset records can link to employee identities, so the model uses pseudonymised asset IDs only, consistent with the DPDP Act, 2023. Sanitisation follows NIST SP 800-88, and transport follows the manifest requirements of the E-Waste Rules, 2022.</w:t>
      </w:r>
    </w:p>
    <w:p>
      <w:pPr>
        <w:pStyle w:val="ListParagraph"/>
        <w:numPr>
          <w:ilvl w:val="0"/>
          <w:numId w:val="3"/>
        </w:numPr>
        <w:spacing w:after="40" w:line="336"/>
        <w:jc w:val="both"/>
      </w:pPr>
      <w:r>
        <w:rPr>
          <w:rFonts w:ascii="Times New Roman" w:cs="Times New Roman" w:eastAsia="Times New Roman" w:hAnsi="Times New Roman"/>
          <w:b/>
          <w:bCs/>
          <w:sz w:val="24"/>
          <w:szCs w:val="24"/>
        </w:rPr>
        <w:t xml:space="preserve">Social impact.</w:t>
      </w:r>
      <w:r>
        <w:rPr>
          <w:rFonts w:ascii="Times New Roman" w:cs="Times New Roman" w:eastAsia="Times New Roman" w:hAnsi="Times New Roman"/>
          <w:sz w:val="24"/>
          <w:szCs w:val="24"/>
        </w:rPr>
        <w:t xml:space="preserve"> Diverting flow from informal recyclers affects livelihoods. The roadmap therefore proposes accrediting informal collectors as formal partners rather than excluding them.</w:t>
      </w:r>
    </w:p>
    <w:p>
      <w:pPr>
        <w:pStyle w:val="Heading1"/>
        <w:keepNext/>
        <w:spacing w:after="100" w:before="200" w:line="300"/>
      </w:pPr>
      <w:r>
        <w:rPr>
          <w:rFonts w:ascii="Times New Roman" w:cs="Times New Roman" w:eastAsia="Times New Roman" w:hAnsi="Times New Roman"/>
          <w:b/>
          <w:bCs/>
          <w:color w:val="1B4332"/>
          <w:sz w:val="28"/>
          <w:szCs w:val="28"/>
        </w:rPr>
        <w:t xml:space="preserve">9. Conclusion</w:t>
      </w:r>
    </w:p>
    <w:p>
      <w:pPr>
        <w:spacing w:after="100" w:before="0" w:line="360"/>
        <w:jc w:val="both"/>
      </w:pPr>
      <w:r>
        <w:rPr>
          <w:rFonts w:ascii="Times New Roman" w:cs="Times New Roman" w:eastAsia="Times New Roman" w:hAnsi="Times New Roman"/>
          <w:sz w:val="24"/>
          <w:szCs w:val="24"/>
        </w:rPr>
        <w:t xml:space="preserve">Public data show that India's e-waste system has enough licensed capacity but uses less than a quarter of it, because flows are routed by contract rather than by geography. For corporate IT, deciding at the gate and routing regionally lowers cost by about two-fifths, carbon by about four-fifths and data exposure by about four-fifths, while AI grading converts compliance spending into recovered value. The main limitations are the synthetic asset-level data, the population-based generation proxy and assumed cost parameters; the pilot is designed to replace each with real evidence. Future work should test stochastic network models over the forecast band and estimate the value-decay curve of returned IT assets in India.</w:t>
      </w:r>
    </w:p>
    <w:p>
      <w:pPr>
        <w:pStyle w:val="Heading1"/>
        <w:keepNext/>
        <w:spacing w:after="100" w:before="200" w:line="300"/>
      </w:pPr>
      <w:r>
        <w:rPr>
          <w:rFonts w:ascii="Times New Roman" w:cs="Times New Roman" w:eastAsia="Times New Roman" w:hAnsi="Times New Roman"/>
          <w:b/>
          <w:bCs/>
          <w:color w:val="1B4332"/>
          <w:sz w:val="28"/>
          <w:szCs w:val="28"/>
        </w:rPr>
        <w:t xml:space="preserve">References</w:t>
      </w:r>
    </w:p>
    <w:p>
      <w:pPr>
        <w:spacing w:after="80" w:line="300"/>
        <w:ind w:left="480" w:hanging="480"/>
        <w:jc w:val="left"/>
      </w:pPr>
      <w:r>
        <w:rPr>
          <w:rFonts w:ascii="Times New Roman" w:cs="Times New Roman" w:eastAsia="Times New Roman" w:hAnsi="Times New Roman"/>
          <w:sz w:val="22"/>
          <w:szCs w:val="22"/>
        </w:rPr>
        <w:t xml:space="preserve">Balde, C. P., Kuehr, R., Yamamoto, T., McDonald, R., D'Angelo, E., Althaf, S., Bel, G., Deubzer, O., Fernandez-Cubillo, E., Forti, V., Gray, V., Herat, S., Honda, S., Iattoni, G., Khetriwal, D. S., Luda di Cortemiglia, V., Lobuntsova, Y., Nnorom, I., Pralat, N., &amp; Wagner, M. (2024). </w:t>
      </w:r>
      <w:r>
        <w:rPr>
          <w:rFonts w:ascii="Times New Roman" w:cs="Times New Roman" w:eastAsia="Times New Roman" w:hAnsi="Times New Roman"/>
          <w:i/>
          <w:iCs/>
          <w:sz w:val="22"/>
          <w:szCs w:val="22"/>
        </w:rPr>
        <w:t xml:space="preserve">The global e-waste monitor 2024</w:t>
      </w:r>
      <w:r>
        <w:rPr>
          <w:rFonts w:ascii="Times New Roman" w:cs="Times New Roman" w:eastAsia="Times New Roman" w:hAnsi="Times New Roman"/>
          <w:sz w:val="22"/>
          <w:szCs w:val="22"/>
        </w:rPr>
        <w:t xml:space="preserve">. International Telecommunication Union and United Nations Institute for Training and Research.</w:t>
      </w:r>
    </w:p>
    <w:p>
      <w:pPr>
        <w:spacing w:after="80" w:line="300"/>
        <w:ind w:left="480" w:hanging="480"/>
        <w:jc w:val="left"/>
      </w:pPr>
      <w:r>
        <w:rPr>
          <w:rFonts w:ascii="Times New Roman" w:cs="Times New Roman" w:eastAsia="Times New Roman" w:hAnsi="Times New Roman"/>
          <w:sz w:val="22"/>
          <w:szCs w:val="22"/>
        </w:rPr>
        <w:t xml:space="preserve">Blackburn, J. D., Guide, V. D. R., Jr., Souza, G. C., &amp; Van Wassenhove, L. N. (2004). Reverse supply chains for commercial returns. </w:t>
      </w:r>
      <w:r>
        <w:rPr>
          <w:rFonts w:ascii="Times New Roman" w:cs="Times New Roman" w:eastAsia="Times New Roman" w:hAnsi="Times New Roman"/>
          <w:i/>
          <w:iCs/>
          <w:sz w:val="22"/>
          <w:szCs w:val="22"/>
        </w:rPr>
        <w:t xml:space="preserve">California Management Review, 46</w:t>
      </w:r>
      <w:r>
        <w:rPr>
          <w:rFonts w:ascii="Times New Roman" w:cs="Times New Roman" w:eastAsia="Times New Roman" w:hAnsi="Times New Roman"/>
          <w:sz w:val="22"/>
          <w:szCs w:val="22"/>
        </w:rPr>
        <w:t xml:space="preserve">(2), 6-22.</w:t>
      </w:r>
    </w:p>
    <w:p>
      <w:pPr>
        <w:spacing w:after="80" w:line="300"/>
        <w:ind w:left="480" w:hanging="480"/>
        <w:jc w:val="left"/>
      </w:pPr>
      <w:r>
        <w:rPr>
          <w:rFonts w:ascii="Times New Roman" w:cs="Times New Roman" w:eastAsia="Times New Roman" w:hAnsi="Times New Roman"/>
          <w:sz w:val="22"/>
          <w:szCs w:val="22"/>
        </w:rPr>
        <w:t xml:space="preserve">Breiman, L. (2001). Random forests. </w:t>
      </w:r>
      <w:r>
        <w:rPr>
          <w:rFonts w:ascii="Times New Roman" w:cs="Times New Roman" w:eastAsia="Times New Roman" w:hAnsi="Times New Roman"/>
          <w:i/>
          <w:iCs/>
          <w:sz w:val="22"/>
          <w:szCs w:val="22"/>
        </w:rPr>
        <w:t xml:space="preserve">Machine Learning, 45</w:t>
      </w:r>
      <w:r>
        <w:rPr>
          <w:rFonts w:ascii="Times New Roman" w:cs="Times New Roman" w:eastAsia="Times New Roman" w:hAnsi="Times New Roman"/>
          <w:sz w:val="22"/>
          <w:szCs w:val="22"/>
        </w:rPr>
        <w:t xml:space="preserve">(1), 5-32.</w:t>
      </w:r>
    </w:p>
    <w:p>
      <w:pPr>
        <w:spacing w:after="80" w:line="300"/>
        <w:ind w:left="480" w:hanging="480"/>
        <w:jc w:val="left"/>
      </w:pPr>
      <w:r>
        <w:rPr>
          <w:rFonts w:ascii="Times New Roman" w:cs="Times New Roman" w:eastAsia="Times New Roman" w:hAnsi="Times New Roman"/>
          <w:sz w:val="22"/>
          <w:szCs w:val="22"/>
        </w:rPr>
        <w:t xml:space="preserve">Central Pollution Control Board. (2026). </w:t>
      </w:r>
      <w:r>
        <w:rPr>
          <w:rFonts w:ascii="Times New Roman" w:cs="Times New Roman" w:eastAsia="Times New Roman" w:hAnsi="Times New Roman"/>
          <w:i/>
          <w:iCs/>
          <w:sz w:val="22"/>
          <w:szCs w:val="22"/>
        </w:rPr>
        <w:t xml:space="preserve">Recycler registration granted list</w:t>
      </w:r>
      <w:r>
        <w:rPr>
          <w:rFonts w:ascii="Times New Roman" w:cs="Times New Roman" w:eastAsia="Times New Roman" w:hAnsi="Times New Roman"/>
          <w:sz w:val="22"/>
          <w:szCs w:val="22"/>
        </w:rPr>
        <w:t xml:space="preserve"> [Data set]. EPR portal for e-waste management. Retrieved August 23, 2026.</w:t>
      </w:r>
    </w:p>
    <w:p>
      <w:pPr>
        <w:spacing w:after="80" w:line="300"/>
        <w:ind w:left="480" w:hanging="480"/>
        <w:jc w:val="left"/>
      </w:pPr>
      <w:r>
        <w:rPr>
          <w:rFonts w:ascii="Times New Roman" w:cs="Times New Roman" w:eastAsia="Times New Roman" w:hAnsi="Times New Roman"/>
          <w:sz w:val="22"/>
          <w:szCs w:val="22"/>
        </w:rPr>
        <w:t xml:space="preserve">Cichosz, M., Wallenburg, C. M., &amp; Knemeyer, A. M. (2020). Digital transformation at logistics service providers: Barriers, success factors and leading practices. </w:t>
      </w:r>
      <w:r>
        <w:rPr>
          <w:rFonts w:ascii="Times New Roman" w:cs="Times New Roman" w:eastAsia="Times New Roman" w:hAnsi="Times New Roman"/>
          <w:i/>
          <w:iCs/>
          <w:sz w:val="22"/>
          <w:szCs w:val="22"/>
        </w:rPr>
        <w:t xml:space="preserve">The International Journal of Logistics Management, 31</w:t>
      </w:r>
      <w:r>
        <w:rPr>
          <w:rFonts w:ascii="Times New Roman" w:cs="Times New Roman" w:eastAsia="Times New Roman" w:hAnsi="Times New Roman"/>
          <w:sz w:val="22"/>
          <w:szCs w:val="22"/>
        </w:rPr>
        <w:t xml:space="preserve">(2), 209-238. https://doi.org/10.1108/IJLM-08-2019-0229</w:t>
      </w:r>
    </w:p>
    <w:p>
      <w:pPr>
        <w:spacing w:after="80" w:line="300"/>
        <w:ind w:left="480" w:hanging="480"/>
        <w:jc w:val="left"/>
      </w:pPr>
      <w:r>
        <w:rPr>
          <w:rFonts w:ascii="Times New Roman" w:cs="Times New Roman" w:eastAsia="Times New Roman" w:hAnsi="Times New Roman"/>
          <w:sz w:val="22"/>
          <w:szCs w:val="22"/>
        </w:rPr>
        <w:t xml:space="preserve">Dadsena, K. K., Pant, P., Paul, S. K., &amp; Pratap, S. (2024). Overcoming strategies for supply chain digitization barriers: Implications for sustainable development goals. </w:t>
      </w:r>
      <w:r>
        <w:rPr>
          <w:rFonts w:ascii="Times New Roman" w:cs="Times New Roman" w:eastAsia="Times New Roman" w:hAnsi="Times New Roman"/>
          <w:i/>
          <w:iCs/>
          <w:sz w:val="22"/>
          <w:szCs w:val="22"/>
        </w:rPr>
        <w:t xml:space="preserve">Business Strategy and the Environment</w:t>
      </w:r>
      <w:r>
        <w:rPr>
          <w:rFonts w:ascii="Times New Roman" w:cs="Times New Roman" w:eastAsia="Times New Roman" w:hAnsi="Times New Roman"/>
          <w:sz w:val="22"/>
          <w:szCs w:val="22"/>
        </w:rPr>
        <w:t xml:space="preserve">. Advance online publication.</w:t>
      </w:r>
    </w:p>
    <w:p>
      <w:pPr>
        <w:spacing w:after="80" w:line="300"/>
        <w:ind w:left="480" w:hanging="480"/>
        <w:jc w:val="left"/>
      </w:pPr>
      <w:r>
        <w:rPr>
          <w:rFonts w:ascii="Times New Roman" w:cs="Times New Roman" w:eastAsia="Times New Roman" w:hAnsi="Times New Roman"/>
          <w:sz w:val="22"/>
          <w:szCs w:val="22"/>
        </w:rPr>
        <w:t xml:space="preserve">Dadsena, K. K., Rathore, P. K., Kaliyan, M., Jayaraman, R., &amp; Saha, E. (2026). Adoption of circular economy practices in supply chains to enhance firm performance: Industrial symbiosis and ecological modernization theory perspective. </w:t>
      </w:r>
      <w:r>
        <w:rPr>
          <w:rFonts w:ascii="Times New Roman" w:cs="Times New Roman" w:eastAsia="Times New Roman" w:hAnsi="Times New Roman"/>
          <w:i/>
          <w:iCs/>
          <w:sz w:val="22"/>
          <w:szCs w:val="22"/>
        </w:rPr>
        <w:t xml:space="preserve">The International Journal of Logistics Management</w:t>
      </w:r>
      <w:r>
        <w:rPr>
          <w:rFonts w:ascii="Times New Roman" w:cs="Times New Roman" w:eastAsia="Times New Roman" w:hAnsi="Times New Roman"/>
          <w:sz w:val="22"/>
          <w:szCs w:val="22"/>
        </w:rPr>
        <w:t xml:space="preserve">. Advance online publication.</w:t>
      </w:r>
    </w:p>
    <w:p>
      <w:pPr>
        <w:spacing w:after="80" w:line="300"/>
        <w:ind w:left="480" w:hanging="480"/>
        <w:jc w:val="left"/>
      </w:pPr>
      <w:r>
        <w:rPr>
          <w:rFonts w:ascii="Times New Roman" w:cs="Times New Roman" w:eastAsia="Times New Roman" w:hAnsi="Times New Roman"/>
          <w:sz w:val="22"/>
          <w:szCs w:val="22"/>
        </w:rPr>
        <w:t xml:space="preserve">Dadsena, K. K., Sarmah, S. P., &amp; Naikan, V. N. A. (2019). Risk evaluation and mitigation of sustainable road freight transport operation: A case of trucking industry. </w:t>
      </w:r>
      <w:r>
        <w:rPr>
          <w:rFonts w:ascii="Times New Roman" w:cs="Times New Roman" w:eastAsia="Times New Roman" w:hAnsi="Times New Roman"/>
          <w:i/>
          <w:iCs/>
          <w:sz w:val="22"/>
          <w:szCs w:val="22"/>
        </w:rPr>
        <w:t xml:space="preserve">International Journal of Production Research, 57</w:t>
      </w:r>
      <w:r>
        <w:rPr>
          <w:rFonts w:ascii="Times New Roman" w:cs="Times New Roman" w:eastAsia="Times New Roman" w:hAnsi="Times New Roman"/>
          <w:sz w:val="22"/>
          <w:szCs w:val="22"/>
        </w:rPr>
        <w:t xml:space="preserve">(19), 6223-6245.</w:t>
      </w:r>
    </w:p>
    <w:p>
      <w:pPr>
        <w:spacing w:after="80" w:line="300"/>
        <w:ind w:left="480" w:hanging="480"/>
        <w:jc w:val="left"/>
      </w:pPr>
      <w:r>
        <w:rPr>
          <w:rFonts w:ascii="Times New Roman" w:cs="Times New Roman" w:eastAsia="Times New Roman" w:hAnsi="Times New Roman"/>
          <w:sz w:val="22"/>
          <w:szCs w:val="22"/>
        </w:rPr>
        <w:t xml:space="preserve">Department of Planning and Development, Government of Jharkhand. (2026). </w:t>
      </w:r>
      <w:r>
        <w:rPr>
          <w:rFonts w:ascii="Times New Roman" w:cs="Times New Roman" w:eastAsia="Times New Roman" w:hAnsi="Times New Roman"/>
          <w:i/>
          <w:iCs/>
          <w:sz w:val="22"/>
          <w:szCs w:val="22"/>
        </w:rPr>
        <w:t xml:space="preserve">Jharkhand economic survey 2025-26</w:t>
      </w:r>
      <w:r>
        <w:rPr>
          <w:rFonts w:ascii="Times New Roman" w:cs="Times New Roman" w:eastAsia="Times New Roman" w:hAnsi="Times New Roman"/>
          <w:sz w:val="22"/>
          <w:szCs w:val="22"/>
        </w:rPr>
        <w:t xml:space="preserve"> (Table 9.8, citing Telecom Regulatory Authority of India data, September 2024).</w:t>
      </w:r>
    </w:p>
    <w:p>
      <w:pPr>
        <w:spacing w:after="80" w:line="300"/>
        <w:ind w:left="480" w:hanging="480"/>
        <w:jc w:val="left"/>
      </w:pPr>
      <w:r>
        <w:rPr>
          <w:rFonts w:ascii="Times New Roman" w:cs="Times New Roman" w:eastAsia="Times New Roman" w:hAnsi="Times New Roman"/>
          <w:sz w:val="22"/>
          <w:szCs w:val="22"/>
        </w:rPr>
        <w:t xml:space="preserve">Fugate, B. S., Mentzer, J. T., &amp; Stank, T. P. (2010). Logistics performance: Efficiency, effectiveness, and differentiation. </w:t>
      </w:r>
      <w:r>
        <w:rPr>
          <w:rFonts w:ascii="Times New Roman" w:cs="Times New Roman" w:eastAsia="Times New Roman" w:hAnsi="Times New Roman"/>
          <w:i/>
          <w:iCs/>
          <w:sz w:val="22"/>
          <w:szCs w:val="22"/>
        </w:rPr>
        <w:t xml:space="preserve">Journal of Business Logistics, 31</w:t>
      </w:r>
      <w:r>
        <w:rPr>
          <w:rFonts w:ascii="Times New Roman" w:cs="Times New Roman" w:eastAsia="Times New Roman" w:hAnsi="Times New Roman"/>
          <w:sz w:val="22"/>
          <w:szCs w:val="22"/>
        </w:rPr>
        <w:t xml:space="preserve">(1), 43-62.</w:t>
      </w:r>
    </w:p>
    <w:p>
      <w:pPr>
        <w:spacing w:after="80" w:line="300"/>
        <w:ind w:left="480" w:hanging="480"/>
        <w:jc w:val="left"/>
      </w:pPr>
      <w:r>
        <w:rPr>
          <w:rFonts w:ascii="Times New Roman" w:cs="Times New Roman" w:eastAsia="Times New Roman" w:hAnsi="Times New Roman"/>
          <w:sz w:val="22"/>
          <w:szCs w:val="22"/>
        </w:rPr>
        <w:t xml:space="preserve">Govindan, K., Soleimani, H., &amp; Kannan, D. (2015). Reverse logistics and closed-loop supply chain: A comprehensive review to explore the future. </w:t>
      </w:r>
      <w:r>
        <w:rPr>
          <w:rFonts w:ascii="Times New Roman" w:cs="Times New Roman" w:eastAsia="Times New Roman" w:hAnsi="Times New Roman"/>
          <w:i/>
          <w:iCs/>
          <w:sz w:val="22"/>
          <w:szCs w:val="22"/>
        </w:rPr>
        <w:t xml:space="preserve">European Journal of Operational Research, 240</w:t>
      </w:r>
      <w:r>
        <w:rPr>
          <w:rFonts w:ascii="Times New Roman" w:cs="Times New Roman" w:eastAsia="Times New Roman" w:hAnsi="Times New Roman"/>
          <w:sz w:val="22"/>
          <w:szCs w:val="22"/>
        </w:rPr>
        <w:t xml:space="preserve">(3), 603-626. https://doi.org/10.1016/j.ejor.2014.07.012</w:t>
      </w:r>
    </w:p>
    <w:p>
      <w:pPr>
        <w:spacing w:after="80" w:line="300"/>
        <w:ind w:left="480" w:hanging="480"/>
        <w:jc w:val="left"/>
      </w:pPr>
      <w:r>
        <w:rPr>
          <w:rFonts w:ascii="Times New Roman" w:cs="Times New Roman" w:eastAsia="Times New Roman" w:hAnsi="Times New Roman"/>
          <w:sz w:val="22"/>
          <w:szCs w:val="22"/>
        </w:rPr>
        <w:t xml:space="preserve">Guide, V. D. R., Jr., &amp; Van Wassenhove, L. N. (2009). The evolution of closed-loop supply chain research. </w:t>
      </w:r>
      <w:r>
        <w:rPr>
          <w:rFonts w:ascii="Times New Roman" w:cs="Times New Roman" w:eastAsia="Times New Roman" w:hAnsi="Times New Roman"/>
          <w:i/>
          <w:iCs/>
          <w:sz w:val="22"/>
          <w:szCs w:val="22"/>
        </w:rPr>
        <w:t xml:space="preserve">Operations Research, 57</w:t>
      </w:r>
      <w:r>
        <w:rPr>
          <w:rFonts w:ascii="Times New Roman" w:cs="Times New Roman" w:eastAsia="Times New Roman" w:hAnsi="Times New Roman"/>
          <w:sz w:val="22"/>
          <w:szCs w:val="22"/>
        </w:rPr>
        <w:t xml:space="preserve">(1), 10-18.</w:t>
      </w:r>
    </w:p>
    <w:p>
      <w:pPr>
        <w:spacing w:after="80" w:line="300"/>
        <w:ind w:left="480" w:hanging="480"/>
        <w:jc w:val="left"/>
      </w:pPr>
      <w:r>
        <w:rPr>
          <w:rFonts w:ascii="Times New Roman" w:cs="Times New Roman" w:eastAsia="Times New Roman" w:hAnsi="Times New Roman"/>
          <w:sz w:val="22"/>
          <w:szCs w:val="22"/>
        </w:rPr>
        <w:t xml:space="preserve">Islam, M. T., &amp; Huda, N. (2018). Reverse logistics and closed-loop supply chain of waste electrical and electronic equipment (WEEE)/e-waste: A comprehensive literature review. </w:t>
      </w:r>
      <w:r>
        <w:rPr>
          <w:rFonts w:ascii="Times New Roman" w:cs="Times New Roman" w:eastAsia="Times New Roman" w:hAnsi="Times New Roman"/>
          <w:i/>
          <w:iCs/>
          <w:sz w:val="22"/>
          <w:szCs w:val="22"/>
        </w:rPr>
        <w:t xml:space="preserve">Resources, Conservation and Recycling, 137</w:t>
      </w:r>
      <w:r>
        <w:rPr>
          <w:rFonts w:ascii="Times New Roman" w:cs="Times New Roman" w:eastAsia="Times New Roman" w:hAnsi="Times New Roman"/>
          <w:sz w:val="22"/>
          <w:szCs w:val="22"/>
        </w:rPr>
        <w:t xml:space="preserve">, 48-75.</w:t>
      </w:r>
    </w:p>
    <w:p>
      <w:pPr>
        <w:spacing w:after="80" w:line="300"/>
        <w:ind w:left="480" w:hanging="480"/>
        <w:jc w:val="left"/>
      </w:pPr>
      <w:r>
        <w:rPr>
          <w:rFonts w:ascii="Times New Roman" w:cs="Times New Roman" w:eastAsia="Times New Roman" w:hAnsi="Times New Roman"/>
          <w:sz w:val="22"/>
          <w:szCs w:val="22"/>
        </w:rPr>
        <w:t xml:space="preserve">Kilic, H. S., Cebeci, U., &amp; Ayhan, M. B. (2015). Reverse logistic system design for the waste of electrical and electronic equipment (WEEE) in Turkey. </w:t>
      </w:r>
      <w:r>
        <w:rPr>
          <w:rFonts w:ascii="Times New Roman" w:cs="Times New Roman" w:eastAsia="Times New Roman" w:hAnsi="Times New Roman"/>
          <w:i/>
          <w:iCs/>
          <w:sz w:val="22"/>
          <w:szCs w:val="22"/>
        </w:rPr>
        <w:t xml:space="preserve">Resources, Conservation and Recycling, 95</w:t>
      </w:r>
      <w:r>
        <w:rPr>
          <w:rFonts w:ascii="Times New Roman" w:cs="Times New Roman" w:eastAsia="Times New Roman" w:hAnsi="Times New Roman"/>
          <w:sz w:val="22"/>
          <w:szCs w:val="22"/>
        </w:rPr>
        <w:t xml:space="preserve">, 120-132.</w:t>
      </w:r>
    </w:p>
    <w:p>
      <w:pPr>
        <w:spacing w:after="80" w:line="300"/>
        <w:ind w:left="480" w:hanging="480"/>
        <w:jc w:val="left"/>
      </w:pPr>
      <w:r>
        <w:rPr>
          <w:rFonts w:ascii="Times New Roman" w:cs="Times New Roman" w:eastAsia="Times New Roman" w:hAnsi="Times New Roman"/>
          <w:sz w:val="22"/>
          <w:szCs w:val="22"/>
        </w:rPr>
        <w:t xml:space="preserve">Kissel, R., Regenscheid, A., Scholl, M., &amp; Stine, K. (2014). </w:t>
      </w:r>
      <w:r>
        <w:rPr>
          <w:rFonts w:ascii="Times New Roman" w:cs="Times New Roman" w:eastAsia="Times New Roman" w:hAnsi="Times New Roman"/>
          <w:i/>
          <w:iCs/>
          <w:sz w:val="22"/>
          <w:szCs w:val="22"/>
        </w:rPr>
        <w:t xml:space="preserve">Guidelines for media sanitization</w:t>
      </w:r>
      <w:r>
        <w:rPr>
          <w:rFonts w:ascii="Times New Roman" w:cs="Times New Roman" w:eastAsia="Times New Roman" w:hAnsi="Times New Roman"/>
          <w:sz w:val="22"/>
          <w:szCs w:val="22"/>
        </w:rPr>
        <w:t xml:space="preserve"> (NIST Special Publication 800-88 Rev. 1). National Institute of Standards and Technology.</w:t>
      </w:r>
    </w:p>
    <w:p>
      <w:pPr>
        <w:spacing w:after="80" w:line="300"/>
        <w:ind w:left="480" w:hanging="480"/>
        <w:jc w:val="left"/>
      </w:pPr>
      <w:r>
        <w:rPr>
          <w:rFonts w:ascii="Times New Roman" w:cs="Times New Roman" w:eastAsia="Times New Roman" w:hAnsi="Times New Roman"/>
          <w:sz w:val="22"/>
          <w:szCs w:val="22"/>
        </w:rPr>
        <w:t xml:space="preserve">Lai, K.-H., &amp; Wong, C. W. Y. (2012). Green logistics management and performance: Some empirical evidence from Chinese manufacturing exporters. </w:t>
      </w:r>
      <w:r>
        <w:rPr>
          <w:rFonts w:ascii="Times New Roman" w:cs="Times New Roman" w:eastAsia="Times New Roman" w:hAnsi="Times New Roman"/>
          <w:i/>
          <w:iCs/>
          <w:sz w:val="22"/>
          <w:szCs w:val="22"/>
        </w:rPr>
        <w:t xml:space="preserve">Omega, 40</w:t>
      </w:r>
      <w:r>
        <w:rPr>
          <w:rFonts w:ascii="Times New Roman" w:cs="Times New Roman" w:eastAsia="Times New Roman" w:hAnsi="Times New Roman"/>
          <w:sz w:val="22"/>
          <w:szCs w:val="22"/>
        </w:rPr>
        <w:t xml:space="preserve">(3), 267-282. https://doi.org/10.1016/j.omega.2011.07.002</w:t>
      </w:r>
    </w:p>
    <w:p>
      <w:pPr>
        <w:spacing w:after="80" w:line="300"/>
        <w:ind w:left="480" w:hanging="480"/>
        <w:jc w:val="left"/>
      </w:pPr>
      <w:r>
        <w:rPr>
          <w:rFonts w:ascii="Times New Roman" w:cs="Times New Roman" w:eastAsia="Times New Roman" w:hAnsi="Times New Roman"/>
          <w:sz w:val="22"/>
          <w:szCs w:val="22"/>
        </w:rPr>
        <w:t xml:space="preserve">Liu, H.-C., Liu, L., &amp; Liu, N. (2013). Risk evaluation approaches in failure mode and effects analysis: A literature review. </w:t>
      </w:r>
      <w:r>
        <w:rPr>
          <w:rFonts w:ascii="Times New Roman" w:cs="Times New Roman" w:eastAsia="Times New Roman" w:hAnsi="Times New Roman"/>
          <w:i/>
          <w:iCs/>
          <w:sz w:val="22"/>
          <w:szCs w:val="22"/>
        </w:rPr>
        <w:t xml:space="preserve">Expert Systems with Applications, 40</w:t>
      </w:r>
      <w:r>
        <w:rPr>
          <w:rFonts w:ascii="Times New Roman" w:cs="Times New Roman" w:eastAsia="Times New Roman" w:hAnsi="Times New Roman"/>
          <w:sz w:val="22"/>
          <w:szCs w:val="22"/>
        </w:rPr>
        <w:t xml:space="preserve">(2), 828-838.</w:t>
      </w:r>
    </w:p>
    <w:p>
      <w:pPr>
        <w:spacing w:after="80" w:line="300"/>
        <w:ind w:left="480" w:hanging="480"/>
        <w:jc w:val="left"/>
      </w:pPr>
      <w:r>
        <w:rPr>
          <w:rFonts w:ascii="Times New Roman" w:cs="Times New Roman" w:eastAsia="Times New Roman" w:hAnsi="Times New Roman"/>
          <w:sz w:val="22"/>
          <w:szCs w:val="22"/>
        </w:rPr>
        <w:t xml:space="preserve">Lok Sabha. (2020, September 18). </w:t>
      </w:r>
      <w:r>
        <w:rPr>
          <w:rFonts w:ascii="Times New Roman" w:cs="Times New Roman" w:eastAsia="Times New Roman" w:hAnsi="Times New Roman"/>
          <w:i/>
          <w:iCs/>
          <w:sz w:val="22"/>
          <w:szCs w:val="22"/>
        </w:rPr>
        <w:t xml:space="preserve">E-waste</w:t>
      </w:r>
      <w:r>
        <w:rPr>
          <w:rFonts w:ascii="Times New Roman" w:cs="Times New Roman" w:eastAsia="Times New Roman" w:hAnsi="Times New Roman"/>
          <w:sz w:val="22"/>
          <w:szCs w:val="22"/>
        </w:rPr>
        <w:t xml:space="preserve"> (Unstarred Question No. 983). Ministry of Environment, Forest and Climate Change.</w:t>
      </w:r>
    </w:p>
    <w:p>
      <w:pPr>
        <w:spacing w:after="80" w:line="300"/>
        <w:ind w:left="480" w:hanging="480"/>
        <w:jc w:val="left"/>
      </w:pPr>
      <w:r>
        <w:rPr>
          <w:rFonts w:ascii="Times New Roman" w:cs="Times New Roman" w:eastAsia="Times New Roman" w:hAnsi="Times New Roman"/>
          <w:sz w:val="22"/>
          <w:szCs w:val="22"/>
        </w:rPr>
        <w:t xml:space="preserve">Lok Sabha. (2021, December 13). </w:t>
      </w:r>
      <w:r>
        <w:rPr>
          <w:rFonts w:ascii="Times New Roman" w:cs="Times New Roman" w:eastAsia="Times New Roman" w:hAnsi="Times New Roman"/>
          <w:i/>
          <w:iCs/>
          <w:sz w:val="22"/>
          <w:szCs w:val="22"/>
        </w:rPr>
        <w:t xml:space="preserve">E-waste management</w:t>
      </w:r>
      <w:r>
        <w:rPr>
          <w:rFonts w:ascii="Times New Roman" w:cs="Times New Roman" w:eastAsia="Times New Roman" w:hAnsi="Times New Roman"/>
          <w:sz w:val="22"/>
          <w:szCs w:val="22"/>
        </w:rPr>
        <w:t xml:space="preserve"> (Unstarred Question No. 2458). Ministry of Environment, Forest and Climate Change.</w:t>
      </w:r>
    </w:p>
    <w:p>
      <w:pPr>
        <w:spacing w:after="80" w:line="300"/>
        <w:ind w:left="480" w:hanging="480"/>
        <w:jc w:val="left"/>
      </w:pPr>
      <w:r>
        <w:rPr>
          <w:rFonts w:ascii="Times New Roman" w:cs="Times New Roman" w:eastAsia="Times New Roman" w:hAnsi="Times New Roman"/>
          <w:sz w:val="22"/>
          <w:szCs w:val="22"/>
        </w:rPr>
        <w:t xml:space="preserve">Ministry of Environment, Forest and Climate Change. (2022). </w:t>
      </w:r>
      <w:r>
        <w:rPr>
          <w:rFonts w:ascii="Times New Roman" w:cs="Times New Roman" w:eastAsia="Times New Roman" w:hAnsi="Times New Roman"/>
          <w:i/>
          <w:iCs/>
          <w:sz w:val="22"/>
          <w:szCs w:val="22"/>
        </w:rPr>
        <w:t xml:space="preserve">E-Waste (Management) Rules, 2022</w:t>
      </w:r>
      <w:r>
        <w:rPr>
          <w:rFonts w:ascii="Times New Roman" w:cs="Times New Roman" w:eastAsia="Times New Roman" w:hAnsi="Times New Roman"/>
          <w:sz w:val="22"/>
          <w:szCs w:val="22"/>
        </w:rPr>
        <w:t xml:space="preserve"> (G.S.R. 801(E)). Government of India.</w:t>
      </w:r>
    </w:p>
    <w:p>
      <w:pPr>
        <w:spacing w:after="80" w:line="300"/>
        <w:ind w:left="480" w:hanging="480"/>
        <w:jc w:val="left"/>
      </w:pPr>
      <w:r>
        <w:rPr>
          <w:rFonts w:ascii="Times New Roman" w:cs="Times New Roman" w:eastAsia="Times New Roman" w:hAnsi="Times New Roman"/>
          <w:sz w:val="22"/>
          <w:szCs w:val="22"/>
        </w:rPr>
        <w:t xml:space="preserve">Office of the Registrar General and Census Commissioner. (2011). </w:t>
      </w:r>
      <w:r>
        <w:rPr>
          <w:rFonts w:ascii="Times New Roman" w:cs="Times New Roman" w:eastAsia="Times New Roman" w:hAnsi="Times New Roman"/>
          <w:i/>
          <w:iCs/>
          <w:sz w:val="22"/>
          <w:szCs w:val="22"/>
        </w:rPr>
        <w:t xml:space="preserve">Census of India 2011: Primary census abstract</w:t>
      </w:r>
      <w:r>
        <w:rPr>
          <w:rFonts w:ascii="Times New Roman" w:cs="Times New Roman" w:eastAsia="Times New Roman" w:hAnsi="Times New Roman"/>
          <w:sz w:val="22"/>
          <w:szCs w:val="22"/>
        </w:rPr>
        <w:t xml:space="preserve">. Government of India.</w:t>
      </w:r>
    </w:p>
    <w:p>
      <w:pPr>
        <w:spacing w:after="80" w:line="300"/>
        <w:ind w:left="480" w:hanging="480"/>
        <w:jc w:val="left"/>
      </w:pPr>
      <w:r>
        <w:rPr>
          <w:rFonts w:ascii="Times New Roman" w:cs="Times New Roman" w:eastAsia="Times New Roman" w:hAnsi="Times New Roman"/>
          <w:sz w:val="22"/>
          <w:szCs w:val="22"/>
        </w:rPr>
        <w:t xml:space="preserve">Press Information Bureau. (2023, July 27). </w:t>
      </w:r>
      <w:r>
        <w:rPr>
          <w:rFonts w:ascii="Times New Roman" w:cs="Times New Roman" w:eastAsia="Times New Roman" w:hAnsi="Times New Roman"/>
          <w:i/>
          <w:iCs/>
          <w:sz w:val="22"/>
          <w:szCs w:val="22"/>
        </w:rPr>
        <w:t xml:space="preserve">Generation of e-waste</w:t>
      </w:r>
      <w:r>
        <w:rPr>
          <w:rFonts w:ascii="Times New Roman" w:cs="Times New Roman" w:eastAsia="Times New Roman" w:hAnsi="Times New Roman"/>
          <w:sz w:val="22"/>
          <w:szCs w:val="22"/>
        </w:rPr>
        <w:t xml:space="preserve"> [Press release, ID 1943201]. Government of India.</w:t>
      </w:r>
    </w:p>
    <w:p>
      <w:pPr>
        <w:spacing w:after="80" w:line="300"/>
        <w:ind w:left="480" w:hanging="480"/>
        <w:jc w:val="left"/>
      </w:pPr>
      <w:r>
        <w:rPr>
          <w:rFonts w:ascii="Times New Roman" w:cs="Times New Roman" w:eastAsia="Times New Roman" w:hAnsi="Times New Roman"/>
          <w:sz w:val="22"/>
          <w:szCs w:val="22"/>
        </w:rPr>
        <w:t xml:space="preserve">Press Information Bureau. (2025, July 24). </w:t>
      </w:r>
      <w:r>
        <w:rPr>
          <w:rFonts w:ascii="Times New Roman" w:cs="Times New Roman" w:eastAsia="Times New Roman" w:hAnsi="Times New Roman"/>
          <w:i/>
          <w:iCs/>
          <w:sz w:val="22"/>
          <w:szCs w:val="22"/>
        </w:rPr>
        <w:t xml:space="preserve">E-waste processing management</w:t>
      </w:r>
      <w:r>
        <w:rPr>
          <w:rFonts w:ascii="Times New Roman" w:cs="Times New Roman" w:eastAsia="Times New Roman" w:hAnsi="Times New Roman"/>
          <w:sz w:val="22"/>
          <w:szCs w:val="22"/>
        </w:rPr>
        <w:t xml:space="preserve"> [Press release, ID 2147876]. Government of India.</w:t>
      </w:r>
    </w:p>
    <w:p>
      <w:pPr>
        <w:spacing w:after="80" w:line="300"/>
        <w:ind w:left="480" w:hanging="480"/>
        <w:jc w:val="left"/>
      </w:pPr>
      <w:r>
        <w:rPr>
          <w:rFonts w:ascii="Times New Roman" w:cs="Times New Roman" w:eastAsia="Times New Roman" w:hAnsi="Times New Roman"/>
          <w:sz w:val="22"/>
          <w:szCs w:val="22"/>
        </w:rPr>
        <w:t xml:space="preserve">Sople, V. V. (2012). </w:t>
      </w:r>
      <w:r>
        <w:rPr>
          <w:rFonts w:ascii="Times New Roman" w:cs="Times New Roman" w:eastAsia="Times New Roman" w:hAnsi="Times New Roman"/>
          <w:i/>
          <w:iCs/>
          <w:sz w:val="22"/>
          <w:szCs w:val="22"/>
        </w:rPr>
        <w:t xml:space="preserve">Logistics management</w:t>
      </w:r>
      <w:r>
        <w:rPr>
          <w:rFonts w:ascii="Times New Roman" w:cs="Times New Roman" w:eastAsia="Times New Roman" w:hAnsi="Times New Roman"/>
          <w:sz w:val="22"/>
          <w:szCs w:val="22"/>
        </w:rPr>
        <w:t xml:space="preserve"> (3rd ed.). Pearson Education India.</w:t>
      </w:r>
    </w:p>
    <w:p>
      <w:pPr>
        <w:spacing w:after="80" w:line="300"/>
        <w:ind w:left="480" w:hanging="480"/>
        <w:jc w:val="left"/>
      </w:pPr>
      <w:r>
        <w:rPr>
          <w:rFonts w:ascii="Times New Roman" w:cs="Times New Roman" w:eastAsia="Times New Roman" w:hAnsi="Times New Roman"/>
          <w:sz w:val="22"/>
          <w:szCs w:val="22"/>
        </w:rPr>
        <w:t xml:space="preserve">Wang, Y.-M., Chin, K.-S., Poon, G. K. K., &amp; Yang, J.-B. (2009). Risk evaluation in failure mode and effects analysis using fuzzy weighted geometric mean. </w:t>
      </w:r>
      <w:r>
        <w:rPr>
          <w:rFonts w:ascii="Times New Roman" w:cs="Times New Roman" w:eastAsia="Times New Roman" w:hAnsi="Times New Roman"/>
          <w:i/>
          <w:iCs/>
          <w:sz w:val="22"/>
          <w:szCs w:val="22"/>
        </w:rPr>
        <w:t xml:space="preserve">Expert Systems with Applications, 36</w:t>
      </w:r>
      <w:r>
        <w:rPr>
          <w:rFonts w:ascii="Times New Roman" w:cs="Times New Roman" w:eastAsia="Times New Roman" w:hAnsi="Times New Roman"/>
          <w:sz w:val="22"/>
          <w:szCs w:val="22"/>
        </w:rPr>
        <w:t xml:space="preserve">(2), 1195-1207.</w:t>
      </w:r>
    </w:p>
    <w:p>
      <w:r>
        <w:br w:type="page"/>
      </w:r>
    </w:p>
    <w:p>
      <w:pPr>
        <w:pStyle w:val="Heading1"/>
        <w:keepNext/>
        <w:spacing w:after="100" w:before="200" w:line="300"/>
      </w:pPr>
      <w:r>
        <w:rPr>
          <w:rFonts w:ascii="Times New Roman" w:cs="Times New Roman" w:eastAsia="Times New Roman" w:hAnsi="Times New Roman"/>
          <w:b/>
          <w:bCs/>
          <w:color w:val="1B4332"/>
          <w:sz w:val="28"/>
          <w:szCs w:val="28"/>
        </w:rPr>
        <w:t xml:space="preserve">Annexures</w:t>
      </w:r>
    </w:p>
    <w:p>
      <w:pPr>
        <w:pStyle w:val="Heading2"/>
        <w:keepNext/>
        <w:spacing w:after="60" w:before="120" w:line="300"/>
      </w:pPr>
      <w:r>
        <w:rPr>
          <w:rFonts w:ascii="Times New Roman" w:cs="Times New Roman" w:eastAsia="Times New Roman" w:hAnsi="Times New Roman"/>
          <w:b/>
          <w:bCs/>
          <w:color w:val="2D6A4F"/>
          <w:sz w:val="24"/>
          <w:szCs w:val="24"/>
        </w:rPr>
        <w:t xml:space="preserve">Annex A. Prompt Logbook (summary)</w:t>
      </w:r>
    </w:p>
    <w:p>
      <w:pPr>
        <w:spacing w:after="100" w:before="0" w:line="360"/>
        <w:jc w:val="both"/>
      </w:pPr>
      <w:r>
        <w:rPr>
          <w:rFonts w:ascii="Times New Roman" w:cs="Times New Roman" w:eastAsia="Times New Roman" w:hAnsi="Times New Roman"/>
          <w:sz w:val="22"/>
          <w:szCs w:val="22"/>
        </w:rPr>
        <w:t xml:space="preserve">The complete logbook (prompt text, tool, output summary, usage and reflection for each entry) is submitted as a separate file. Selected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3949"/>
        <w:gridCol w:w="4513"/>
      </w:tblGrid>
      <w:tr>
        <w:trPr>
          <w:tblHeader/>
        </w:trPr>
        <w:tc>
          <w:tcPr>
            <w:tcW w:type="dxa" w:w="564"/>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w:t>
            </w:r>
          </w:p>
        </w:tc>
        <w:tc>
          <w:tcPr>
            <w:tcW w:type="dxa" w:w="394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Purpose of prompt</w:t>
            </w:r>
          </w:p>
        </w:tc>
        <w:tc>
          <w:tcPr>
            <w:tcW w:type="dxa" w:w="4513"/>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Outcome and reflection</w:t>
            </w:r>
          </w:p>
        </w:tc>
      </w:tr>
      <w:tr>
        <w:trPr>
          <w:cantSplit/>
        </w:trPr>
        <w:tc>
          <w:tcPr>
            <w:tcW w:type="dxa" w:w="56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Choose a topic unique within the batch and aligned to faculty research</w:t>
            </w:r>
          </w:p>
        </w:tc>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Batch profile showed ~16 of 35 peers from metals; e-waste ITAD chosen</w:t>
            </w:r>
          </w:p>
        </w:tc>
      </w:tr>
      <w:tr>
        <w:trPr>
          <w:cantSplit/>
        </w:trPr>
        <w:tc>
          <w:tcPr>
            <w:tcW w:type="dxa" w:w="56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Locate official CPCB state and national data</w:t>
            </w:r>
          </w:p>
        </w:tc>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PIB releases located; AI-quoted figures cross-checked against originals</w:t>
            </w:r>
          </w:p>
        </w:tc>
      </w:tr>
      <w:tr>
        <w:trPr>
          <w:cantSplit/>
        </w:trPr>
        <w:tc>
          <w:tcPr>
            <w:tcW w:type="dxa" w:w="56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Design synthetic asset data with documented grading logic</w:t>
            </w:r>
          </w:p>
        </w:tc>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Accepted with changes: added wipe-verification constraint</w:t>
            </w:r>
          </w:p>
        </w:tc>
      </w:tr>
      <w:tr>
        <w:trPr>
          <w:cantSplit/>
        </w:trPr>
        <w:tc>
          <w:tcPr>
            <w:tcW w:type="dxa" w:w="56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Recommend a forecasting method</w:t>
            </w:r>
          </w:p>
        </w:tc>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Prophet suggested, rejected after critique; dual-model approach adopted</w:t>
            </w:r>
          </w:p>
        </w:tc>
      </w:tr>
      <w:tr>
        <w:trPr>
          <w:cantSplit/>
        </w:trPr>
        <w:tc>
          <w:tcPr>
            <w:tcW w:type="dxa" w:w="56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9</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Critique the first network result</w:t>
            </w:r>
          </w:p>
        </w:tc>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Freight under-priced low-density cargo; rates corrected; result reversed</w:t>
            </w:r>
          </w:p>
        </w:tc>
      </w:tr>
      <w:tr>
        <w:trPr>
          <w:cantSplit/>
        </w:trPr>
        <w:tc>
          <w:tcPr>
            <w:tcW w:type="dxa" w:w="56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11</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Simulate a 3-expert FMEA panel</w:t>
            </w:r>
          </w:p>
        </w:tc>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Used only as a benchmark once real ratings arrived</w:t>
            </w:r>
          </w:p>
        </w:tc>
      </w:tr>
      <w:tr>
        <w:trPr>
          <w:cantSplit/>
        </w:trPr>
        <w:tc>
          <w:tcPr>
            <w:tcW w:type="dxa" w:w="564"/>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18</w:t>
            </w:r>
          </w:p>
        </w:tc>
        <w:tc>
          <w:tcPr>
            <w:tcW w:type="dxa" w:w="39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Analyse the practitioner survey; screen data quality</w:t>
            </w:r>
          </w:p>
        </w:tc>
        <w:tc>
          <w:tcPr>
            <w:tcW w:type="dxa" w:w="451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One straight-lined response excluded; real vs simulated rank rho = 0.10</w:t>
            </w:r>
          </w:p>
        </w:tc>
      </w:tr>
      <w:tr>
        <w:trPr>
          <w:cantSplit/>
        </w:trPr>
        <w:tc>
          <w:tcPr>
            <w:tcW w:type="dxa" w:w="564"/>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14-16</w:t>
            </w:r>
          </w:p>
        </w:tc>
        <w:tc>
          <w:tcPr>
            <w:tcW w:type="dxa" w:w="39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Rebuild on real public data; clean registry; test proxy sensitivity</w:t>
            </w:r>
          </w:p>
        </w:tc>
        <w:tc>
          <w:tcPr>
            <w:tcW w:type="dxa" w:w="451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Registry cleaned (2 test records); proxies agree (rho 0.99); real recyclers in MILP</w:t>
            </w:r>
          </w:p>
        </w:tc>
      </w:tr>
    </w:tbl>
    <w:p>
      <w:pPr>
        <w:spacing w:after="100"/>
      </w:pPr>
    </w:p>
    <w:p>
      <w:pPr>
        <w:pStyle w:val="Heading2"/>
        <w:keepNext/>
        <w:spacing w:after="60" w:before="120" w:line="300"/>
      </w:pPr>
      <w:r>
        <w:rPr>
          <w:rFonts w:ascii="Times New Roman" w:cs="Times New Roman" w:eastAsia="Times New Roman" w:hAnsi="Times New Roman"/>
          <w:b/>
          <w:bCs/>
          <w:color w:val="2D6A4F"/>
          <w:sz w:val="24"/>
          <w:szCs w:val="24"/>
        </w:rPr>
        <w:t xml:space="preserve">Annex B. Code repository</w:t>
      </w:r>
    </w:p>
    <w:p>
      <w:pPr>
        <w:spacing w:after="100" w:before="0" w:line="360"/>
        <w:jc w:val="both"/>
      </w:pPr>
      <w:r>
        <w:rPr>
          <w:rFonts w:ascii="Times New Roman" w:cs="Times New Roman" w:eastAsia="Times New Roman" w:hAnsi="Times New Roman"/>
          <w:sz w:val="22"/>
          <w:szCs w:val="22"/>
        </w:rPr>
        <w:t xml:space="preserve">Repository: ReLoop_WAI (submitted as a zip in the course Drive folder; GitHub link to be added). Scripts a01_spatial_mismatch.py through a09_build_dashboard.py; run_all.py reproduces every output. Core of the MILP objective (a04_network_design.py):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4F" w:sz="8"/>
              <w:left w:val="single" w:color="2D6A4F" w:sz="8"/>
              <w:bottom w:val="single" w:color="2D6A4F" w:sz="8"/>
              <w:right w:val="single" w:color="2D6A4F" w:sz="8"/>
            </w:tcBorders>
            <w:shd w:fill="F4F7F5" w:color="auto" w:val="clear"/>
            <w:tcMar>
              <w:top w:type="dxa" w:w="120"/>
              <w:left w:type="dxa" w:w="160"/>
              <w:bottom w:type="dxa" w:w="120"/>
              <w:right w:type="dxa" w:w="160"/>
            </w:tcMar>
          </w:tcPr>
          <w:p>
            <w:pPr>
              <w:spacing w:after="60" w:line="300"/>
              <w:jc w:val="both"/>
            </w:pPr>
            <w:r>
              <w:rPr>
                <w:rFonts w:ascii="Times New Roman" w:cs="Times New Roman" w:eastAsia="Times New Roman" w:hAnsi="Times New Roman"/>
                <w:sz w:val="22"/>
                <w:szCs w:val="22"/>
              </w:rPr>
              <w:t xml:space="preserve">minimise  SUM(hub fixed cost x open[h]) + SUM(demand[c] x (first-mile + LTL rate x km[c,h]) x assign[c,h]) + SUM(FTL rate x km[h,r] x flow[h,r])</w:t>
            </w:r>
          </w:p>
          <w:p>
            <w:pPr>
              <w:spacing w:after="60" w:line="300"/>
              <w:jc w:val="both"/>
            </w:pPr>
            <w:r>
              <w:rPr>
                <w:rFonts w:ascii="Times New Roman" w:cs="Times New Roman" w:eastAsia="Times New Roman" w:hAnsi="Times New Roman"/>
                <w:sz w:val="22"/>
                <w:szCs w:val="22"/>
              </w:rPr>
              <w:t xml:space="preserve">subject to: each city assigned to exactly one open hub; hub load &lt;= capacity x open[h]; onward flow = ML-predicted recycle share x hub load; recycler intake &lt;= available capacity.</w:t>
            </w:r>
          </w:p>
        </w:tc>
      </w:tr>
    </w:tbl>
    <w:p/>
    <w:p>
      <w:pPr>
        <w:pStyle w:val="Heading2"/>
        <w:keepNext/>
        <w:spacing w:after="60" w:before="120" w:line="300"/>
      </w:pPr>
      <w:r>
        <w:rPr>
          <w:rFonts w:ascii="Times New Roman" w:cs="Times New Roman" w:eastAsia="Times New Roman" w:hAnsi="Times New Roman"/>
          <w:b/>
          <w:bCs/>
          <w:color w:val="2D6A4F"/>
          <w:sz w:val="24"/>
          <w:szCs w:val="24"/>
        </w:rPr>
        <w:t xml:space="preserve">Annex C. Assumptions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579"/>
        <w:gridCol w:w="3438"/>
      </w:tblGrid>
      <w:tr>
        <w:trPr>
          <w:tblHeader/>
        </w:trPr>
        <w:tc>
          <w:tcPr>
            <w:tcW w:type="dxa" w:w="300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Parameter</w:t>
            </w:r>
          </w:p>
        </w:tc>
        <w:tc>
          <w:tcPr>
            <w:tcW w:type="dxa" w:w="257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Value</w:t>
            </w:r>
          </w:p>
        </w:tc>
        <w:tc>
          <w:tcPr>
            <w:tcW w:type="dxa" w:w="3438"/>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Basis</w:t>
            </w:r>
          </w:p>
        </w:tc>
      </w:tr>
      <w:tr>
        <w:trPr>
          <w:cantSplit/>
        </w:trPr>
        <w:tc>
          <w:tcPr>
            <w:tcW w:type="dxa" w:w="300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Part-load (LTL) rate, data-bearing leg</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Rs 17 per t-km</w:t>
            </w:r>
          </w:p>
        </w:tc>
        <w:tc>
          <w:tcPr>
            <w:tcW w:type="dxa" w:w="343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Volumetric rate for low-density IT cargo plus security premium</w:t>
            </w:r>
          </w:p>
        </w:tc>
      </w:tr>
      <w:tr>
        <w:trPr>
          <w:cantSplit/>
        </w:trPr>
        <w:tc>
          <w:tcPr>
            <w:tcW w:type="dxa" w:w="300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Full-truck (FTL) rate, sanitised leg</w:t>
            </w:r>
          </w:p>
        </w:tc>
        <w:tc>
          <w:tcPr>
            <w:tcW w:type="dxa" w:w="257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Rs 8 per t-km</w:t>
            </w:r>
          </w:p>
        </w:tc>
        <w:tc>
          <w:tcPr>
            <w:tcW w:type="dxa" w:w="343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Truck cubes out at ~6-7 t of IT assets</w:t>
            </w:r>
          </w:p>
        </w:tc>
      </w:tr>
      <w:tr>
        <w:trPr>
          <w:cantSplit/>
        </w:trPr>
        <w:tc>
          <w:tcPr>
            <w:tcW w:type="dxa" w:w="300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Hub fixed cost</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Rs 0.70-0.95 Cr per year</w:t>
            </w:r>
          </w:p>
        </w:tc>
        <w:tc>
          <w:tcPr>
            <w:tcW w:type="dxa" w:w="343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Lease of ~15,000 sq ft, secure cage, certification, supervisors</w:t>
            </w:r>
          </w:p>
        </w:tc>
      </w:tr>
      <w:tr>
        <w:trPr>
          <w:cantSplit/>
        </w:trPr>
        <w:tc>
          <w:tcPr>
            <w:tcW w:type="dxa" w:w="300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Emission factors (LTL / FTL)</w:t>
            </w:r>
          </w:p>
        </w:tc>
        <w:tc>
          <w:tcPr>
            <w:tcW w:type="dxa" w:w="257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0.20 / 0.11 kg CO2e per t-km</w:t>
            </w:r>
          </w:p>
        </w:tc>
        <w:tc>
          <w:tcPr>
            <w:tcW w:type="dxa" w:w="343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GLEC-style factors adjusted for low load factor</w:t>
            </w:r>
          </w:p>
        </w:tc>
      </w:tr>
      <w:tr>
        <w:trPr>
          <w:cantSplit/>
        </w:trPr>
        <w:tc>
          <w:tcPr>
            <w:tcW w:type="dxa" w:w="300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Value per asset by disposition</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e.g. laptop Rs 22,000 / 11,000 / 2,500 / 350</w:t>
            </w:r>
          </w:p>
        </w:tc>
        <w:tc>
          <w:tcPr>
            <w:tcW w:type="dxa" w:w="343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Redeploy (avoided purchase) / resale / parts / material</w:t>
            </w:r>
          </w:p>
        </w:tc>
      </w:tr>
      <w:tr>
        <w:trPr>
          <w:cantSplit/>
        </w:trPr>
        <w:tc>
          <w:tcPr>
            <w:tcW w:type="dxa" w:w="300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Road circuity</w:t>
            </w:r>
          </w:p>
        </w:tc>
        <w:tc>
          <w:tcPr>
            <w:tcW w:type="dxa" w:w="257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1.30 inter-city; 1.45 urban</w:t>
            </w:r>
          </w:p>
        </w:tc>
        <w:tc>
          <w:tcPr>
            <w:tcW w:type="dxa" w:w="343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Ratio of road to great-circle distance</w:t>
            </w:r>
          </w:p>
        </w:tc>
      </w:tr>
      <w:tr>
        <w:trPr>
          <w:cantSplit/>
        </w:trPr>
        <w:tc>
          <w:tcPr>
            <w:tcW w:type="dxa" w:w="300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Discount rate; horizon</w:t>
            </w:r>
          </w:p>
        </w:tc>
        <w:tc>
          <w:tcPr>
            <w:tcW w:type="dxa" w:w="257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12%; 5 years</w:t>
            </w:r>
          </w:p>
        </w:tc>
        <w:tc>
          <w:tcPr>
            <w:tcW w:type="dxa" w:w="343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Typical corporate hurdle rate</w:t>
            </w:r>
          </w:p>
        </w:tc>
      </w:tr>
    </w:tbl>
    <w:p>
      <w:pPr>
        <w:spacing w:after="100"/>
      </w:pPr>
    </w:p>
    <w:p>
      <w:pPr>
        <w:pStyle w:val="Heading2"/>
        <w:keepNext/>
        <w:spacing w:after="60" w:before="120" w:line="300"/>
      </w:pPr>
      <w:r>
        <w:rPr>
          <w:rFonts w:ascii="Times New Roman" w:cs="Times New Roman" w:eastAsia="Times New Roman" w:hAnsi="Times New Roman"/>
          <w:b/>
          <w:bCs/>
          <w:color w:val="2D6A4F"/>
          <w:sz w:val="24"/>
          <w:szCs w:val="24"/>
        </w:rPr>
        <w:t xml:space="preserve">Annex D. Additional model outputs</w:t>
      </w:r>
    </w:p>
    <w:p>
      <w:pPr>
        <w:keepNext/>
        <w:spacing w:after="50" w:before="100"/>
      </w:pPr>
      <w:r>
        <w:rPr>
          <w:rFonts w:ascii="Times New Roman" w:cs="Times New Roman" w:eastAsia="Times New Roman" w:hAnsi="Times New Roman"/>
          <w:b/>
          <w:bCs/>
          <w:color w:val="1B4332"/>
          <w:sz w:val="20"/>
          <w:szCs w:val="20"/>
        </w:rPr>
        <w:t xml:space="preserve">Table D1. Robustness of the network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49"/>
        <w:gridCol w:w="2729"/>
        <w:gridCol w:w="1050"/>
        <w:gridCol w:w="1050"/>
        <w:gridCol w:w="1050"/>
      </w:tblGrid>
      <w:tr>
        <w:trPr>
          <w:tblHeader/>
        </w:trPr>
        <w:tc>
          <w:tcPr>
            <w:tcW w:type="dxa" w:w="314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Sensitivity case</w:t>
            </w:r>
          </w:p>
        </w:tc>
        <w:tc>
          <w:tcPr>
            <w:tcW w:type="dxa" w:w="2729"/>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Hubs opened</w:t>
            </w:r>
          </w:p>
        </w:tc>
        <w:tc>
          <w:tcPr>
            <w:tcW w:type="dxa" w:w="105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S0 (Cr)</w:t>
            </w:r>
          </w:p>
        </w:tc>
        <w:tc>
          <w:tcPr>
            <w:tcW w:type="dxa" w:w="105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S2 (Cr)</w:t>
            </w:r>
          </w:p>
        </w:tc>
        <w:tc>
          <w:tcPr>
            <w:tcW w:type="dxa" w:w="105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Saving</w:t>
            </w:r>
          </w:p>
        </w:tc>
      </w:tr>
      <w:tr>
        <w:trPr>
          <w:cantSplit/>
        </w:trPr>
        <w:tc>
          <w:tcPr>
            <w:tcW w:type="dxa" w:w="31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Freight -30%</w:t>
            </w:r>
          </w:p>
        </w:tc>
        <w:tc>
          <w:tcPr>
            <w:tcW w:type="dxa" w:w="272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Bengaluru, Pune, Gurugram</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5.65</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4.05</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28.3%</w:t>
            </w:r>
          </w:p>
        </w:tc>
      </w:tr>
      <w:tr>
        <w:trPr>
          <w:cantSplit/>
        </w:trPr>
        <w:tc>
          <w:tcPr>
            <w:tcW w:type="dxa" w:w="31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Freight +30%</w:t>
            </w:r>
          </w:p>
        </w:tc>
        <w:tc>
          <w:tcPr>
            <w:tcW w:type="dxa" w:w="272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Bengaluru, Pune, Gurugram</w:t>
            </w:r>
          </w:p>
        </w:tc>
        <w:tc>
          <w:tcPr>
            <w:tcW w:type="dxa" w:w="105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9.17</w:t>
            </w:r>
          </w:p>
        </w:tc>
        <w:tc>
          <w:tcPr>
            <w:tcW w:type="dxa" w:w="105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4.74</w:t>
            </w:r>
          </w:p>
        </w:tc>
        <w:tc>
          <w:tcPr>
            <w:tcW w:type="dxa" w:w="105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48.3%</w:t>
            </w:r>
          </w:p>
        </w:tc>
      </w:tr>
      <w:tr>
        <w:trPr>
          <w:cantSplit/>
        </w:trPr>
        <w:tc>
          <w:tcPr>
            <w:tcW w:type="dxa" w:w="31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Hub fixed cost +30%</w:t>
            </w:r>
          </w:p>
        </w:tc>
        <w:tc>
          <w:tcPr>
            <w:tcW w:type="dxa" w:w="272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Bengaluru, Pune, Gurugram</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7.74</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5.23</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32.4%</w:t>
            </w:r>
          </w:p>
        </w:tc>
      </w:tr>
      <w:tr>
        <w:trPr>
          <w:cantSplit/>
        </w:trPr>
        <w:tc>
          <w:tcPr>
            <w:tcW w:type="dxa" w:w="314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Hub fixed cost -30%</w:t>
            </w:r>
          </w:p>
        </w:tc>
        <w:tc>
          <w:tcPr>
            <w:tcW w:type="dxa" w:w="2729"/>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Bengaluru, Pune, Gurugram</w:t>
            </w:r>
          </w:p>
        </w:tc>
        <w:tc>
          <w:tcPr>
            <w:tcW w:type="dxa" w:w="105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7.08</w:t>
            </w:r>
          </w:p>
        </w:tc>
        <w:tc>
          <w:tcPr>
            <w:tcW w:type="dxa" w:w="105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3.55</w:t>
            </w:r>
          </w:p>
        </w:tc>
        <w:tc>
          <w:tcPr>
            <w:tcW w:type="dxa" w:w="105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49.8%</w:t>
            </w:r>
          </w:p>
        </w:tc>
      </w:tr>
      <w:tr>
        <w:trPr>
          <w:cantSplit/>
        </w:trPr>
        <w:tc>
          <w:tcPr>
            <w:tcW w:type="dxa" w:w="314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Worst case: freight -30%, fixed +30%</w:t>
            </w:r>
          </w:p>
        </w:tc>
        <w:tc>
          <w:tcPr>
            <w:tcW w:type="dxa" w:w="2729"/>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Pune, Chennai</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5.98</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4.59</w:t>
            </w:r>
          </w:p>
        </w:tc>
        <w:tc>
          <w:tcPr>
            <w:tcW w:type="dxa" w:w="105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23.2%</w:t>
            </w:r>
          </w:p>
        </w:tc>
      </w:tr>
    </w:tbl>
    <w:p>
      <w:pPr>
        <w:spacing w:after="100"/>
      </w:pPr>
    </w:p>
    <w:p>
      <w:pPr>
        <w:keepNext/>
        <w:spacing w:after="50" w:before="100"/>
      </w:pPr>
      <w:r>
        <w:rPr>
          <w:rFonts w:ascii="Times New Roman" w:cs="Times New Roman" w:eastAsia="Times New Roman" w:hAnsi="Times New Roman"/>
          <w:b/>
          <w:bCs/>
          <w:color w:val="1B4332"/>
          <w:sz w:val="20"/>
          <w:szCs w:val="20"/>
        </w:rPr>
        <w:t xml:space="preserve">Table D2. Fuzzy FMEA results (practitioner panel, n =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
        <w:gridCol w:w="4183"/>
        <w:gridCol w:w="660"/>
        <w:gridCol w:w="660"/>
        <w:gridCol w:w="660"/>
        <w:gridCol w:w="1101"/>
        <w:gridCol w:w="1101"/>
      </w:tblGrid>
      <w:tr>
        <w:trPr>
          <w:tblHeader/>
        </w:trPr>
        <w:tc>
          <w:tcPr>
            <w:tcW w:type="dxa" w:w="66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ID</w:t>
            </w:r>
          </w:p>
        </w:tc>
        <w:tc>
          <w:tcPr>
            <w:tcW w:type="dxa" w:w="4183"/>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Failure mode</w:t>
            </w:r>
          </w:p>
        </w:tc>
        <w:tc>
          <w:tcPr>
            <w:tcW w:type="dxa" w:w="66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S</w:t>
            </w:r>
          </w:p>
        </w:tc>
        <w:tc>
          <w:tcPr>
            <w:tcW w:type="dxa" w:w="66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O</w:t>
            </w:r>
          </w:p>
        </w:tc>
        <w:tc>
          <w:tcPr>
            <w:tcW w:type="dxa" w:w="66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D</w:t>
            </w:r>
          </w:p>
        </w:tc>
        <w:tc>
          <w:tcPr>
            <w:tcW w:type="dxa" w:w="1101"/>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Fuzzy RPN</w:t>
            </w:r>
          </w:p>
        </w:tc>
        <w:tc>
          <w:tcPr>
            <w:tcW w:type="dxa" w:w="1101"/>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Crisp RPN</w:t>
            </w:r>
          </w:p>
        </w:tc>
      </w:tr>
      <w:tr>
        <w:trPr>
          <w:cantSplit/>
        </w:trPr>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R2</w:t>
            </w:r>
          </w:p>
        </w:tc>
        <w:tc>
          <w:tcPr>
            <w:tcW w:type="dxa" w:w="418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Leakage to informal kabadiwala channel</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7.74</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2.85</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7.74</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205.2</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215.5</w:t>
            </w:r>
          </w:p>
        </w:tc>
      </w:tr>
      <w:tr>
        <w:trPr>
          <w:cantSplit/>
        </w:trPr>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R7</w:t>
            </w:r>
          </w:p>
        </w:tc>
        <w:tc>
          <w:tcPr>
            <w:tcW w:type="dxa" w:w="418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Return-volume surge (refresh cycle)</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6.11</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4.33</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5.22</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180.1</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179.4</w:t>
            </w:r>
          </w:p>
        </w:tc>
      </w:tr>
      <w:tr>
        <w:trPr>
          <w:cantSplit/>
        </w:trPr>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R1</w:t>
            </w:r>
          </w:p>
        </w:tc>
        <w:tc>
          <w:tcPr>
            <w:tcW w:type="dxa" w:w="418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Data breach: un-wiped drive lost in transit</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7.52</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2.41</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7.3</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164.2</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103.4</w:t>
            </w:r>
          </w:p>
        </w:tc>
      </w:tr>
      <w:tr>
        <w:trPr>
          <w:cantSplit/>
        </w:trPr>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R4</w:t>
            </w:r>
          </w:p>
        </w:tc>
        <w:tc>
          <w:tcPr>
            <w:tcW w:type="dxa" w:w="418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EPR / Form-6 manifest non-compliance</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4.41</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3.52</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4.41</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89.5</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68.9</w:t>
            </w:r>
          </w:p>
        </w:tc>
      </w:tr>
      <w:tr>
        <w:trPr>
          <w:cantSplit/>
        </w:trPr>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R8</w:t>
            </w:r>
          </w:p>
        </w:tc>
        <w:tc>
          <w:tcPr>
            <w:tcW w:type="dxa" w:w="418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Recycler capacity / licence lapse</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4.63</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3.74</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3.74</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85.6</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93.9</w:t>
            </w:r>
          </w:p>
        </w:tc>
      </w:tr>
      <w:tr>
        <w:trPr>
          <w:cantSplit/>
        </w:trPr>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R9</w:t>
            </w:r>
          </w:p>
        </w:tc>
        <w:tc>
          <w:tcPr>
            <w:tcW w:type="dxa" w:w="418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Transit damage lowers resale grade</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4.63</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2.85</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4.63</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81.9</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91.7</w:t>
            </w:r>
          </w:p>
        </w:tc>
      </w:tr>
      <w:tr>
        <w:trPr>
          <w:cantSplit/>
        </w:trPr>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R10</w:t>
            </w:r>
          </w:p>
        </w:tc>
        <w:tc>
          <w:tcPr>
            <w:tcW w:type="dxa" w:w="418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Commodity price swing on recovered metals</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3.74</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3.74</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3.74</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71.7</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81.4</w:t>
            </w:r>
          </w:p>
        </w:tc>
      </w:tr>
      <w:tr>
        <w:trPr>
          <w:cantSplit/>
        </w:trPr>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R3</w:t>
            </w:r>
          </w:p>
        </w:tc>
        <w:tc>
          <w:tcPr>
            <w:tcW w:type="dxa" w:w="418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Li-ion battery thermal event in truck/hub</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3.52</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2.63</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5.22</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70.3</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62.3</w:t>
            </w:r>
          </w:p>
        </w:tc>
      </w:tr>
      <w:tr>
        <w:trPr>
          <w:cantSplit/>
        </w:trPr>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R5</w:t>
            </w:r>
          </w:p>
        </w:tc>
        <w:tc>
          <w:tcPr>
            <w:tcW w:type="dxa" w:w="4183"/>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Chain-of-custody gap (serial mismatch)</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4.63</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2.26</w:t>
            </w:r>
          </w:p>
        </w:tc>
        <w:tc>
          <w:tcPr>
            <w:tcW w:type="dxa" w:w="66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3.52</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51.5</w:t>
            </w:r>
          </w:p>
        </w:tc>
        <w:tc>
          <w:tcPr>
            <w:tcW w:type="dxa" w:w="110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55</w:t>
            </w:r>
          </w:p>
        </w:tc>
      </w:tr>
      <w:tr>
        <w:trPr>
          <w:cantSplit/>
        </w:trPr>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R6</w:t>
            </w:r>
          </w:p>
        </w:tc>
        <w:tc>
          <w:tcPr>
            <w:tcW w:type="dxa" w:w="4183"/>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Mis-grading destroys recoverable value</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3.74</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2.63</w:t>
            </w:r>
          </w:p>
        </w:tc>
        <w:tc>
          <w:tcPr>
            <w:tcW w:type="dxa" w:w="66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2.85</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44</w:t>
            </w:r>
          </w:p>
        </w:tc>
        <w:tc>
          <w:tcPr>
            <w:tcW w:type="dxa" w:w="110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47.7</w:t>
            </w:r>
          </w:p>
        </w:tc>
      </w:tr>
    </w:tbl>
    <w:p>
      <w:pPr>
        <w:spacing w:after="100"/>
      </w:pPr>
    </w:p>
    <w:p>
      <w:pPr>
        <w:keepNext/>
        <w:spacing w:after="20" w:before="60"/>
        <w:jc w:val="center"/>
      </w:pPr>
      <w:r>
        <w:drawing>
          <wp:inline distT="0" distB="0" distL="0" distR="0">
            <wp:extent cx="5120640" cy="2486519"/>
            <wp:effectExtent t="0" r="0" b="0" l="0"/>
            <wp:docPr id="1" name="fig05_milkrun.png" descr="Figure D3. Optimised weekly milk-runs from the Pune hub and weekly vehicle-km" title="Figure D3. Optimised weekly milk-runs from the Pune hub and weekly vehicle-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0640" cy="2486519"/>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D3. Optimised weekly milk-runs from the Pune hub and weekly vehicle-km</w:t>
      </w:r>
    </w:p>
    <w:p>
      <w:pPr>
        <w:keepNext/>
        <w:spacing w:after="20" w:before="60"/>
        <w:jc w:val="center"/>
      </w:pPr>
      <w:r>
        <w:drawing>
          <wp:inline distT="0" distB="0" distL="0" distR="0">
            <wp:extent cx="2926080" cy="2536477"/>
            <wp:effectExtent t="0" r="0" b="0" l="0"/>
            <wp:docPr id="1" name="figA_confusion_matrix.png" descr="Figure D1. Confusion matrix of the grading model (hold-out set)" title="Figure D1. Confusion matrix of the grading model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6080" cy="2536477"/>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D1. Confusion matrix of the grading model (hold-out set)</w:t>
      </w:r>
    </w:p>
    <w:p>
      <w:pPr>
        <w:keepNext/>
        <w:spacing w:after="20" w:before="60"/>
        <w:jc w:val="center"/>
      </w:pPr>
      <w:r>
        <w:drawing>
          <wp:inline distT="0" distB="0" distL="0" distR="0">
            <wp:extent cx="5120640" cy="2876861"/>
            <wp:effectExtent t="0" r="0" b="0" l="0"/>
            <wp:docPr id="1" name="fig01d_district_concentration.png" descr="Figure D2. Top 15 districts by authorised e-waste capacity (CPCB registry, Aug 2026)" title="Figure D2. Top 15 districts by authorised e-waste capacity (CPCB registry, Aug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2876861"/>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D2. Top 15 districts by authorised e-waste capacity (CPCB registry, Aug 2026)</w:t>
      </w:r>
    </w:p>
    <w:p>
      <w:pPr>
        <w:keepNext/>
        <w:spacing w:after="50" w:before="100"/>
      </w:pPr>
      <w:r>
        <w:rPr>
          <w:rFonts w:ascii="Times New Roman" w:cs="Times New Roman" w:eastAsia="Times New Roman" w:hAnsi="Times New Roman"/>
          <w:b/>
          <w:bCs/>
          <w:color w:val="1B4332"/>
          <w:sz w:val="20"/>
          <w:szCs w:val="20"/>
        </w:rPr>
        <w:t xml:space="preserve">Table D3. Implementation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Implementation risk</w:t>
            </w:r>
          </w:p>
        </w:tc>
        <w:tc>
          <w:tcPr>
            <w:tcW w:type="dxa" w:w="5641"/>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9"/>
                <w:szCs w:val="19"/>
              </w:rPr>
              <w:t xml:space="preserve">Mitigation</w:t>
            </w:r>
          </w:p>
        </w:tc>
      </w:tr>
      <w:tr>
        <w:trPr>
          <w:cantSplit/>
        </w:trPr>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Model under-performs on real assets</w:t>
            </w:r>
          </w:p>
        </w:tc>
        <w:tc>
          <w:tcPr>
            <w:tcW w:type="dxa" w:w="564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Shadow mode for four months; go-live only if uplift is at least 25% of modelled value (Gate 1)</w:t>
            </w:r>
          </w:p>
        </w:tc>
      </w:tr>
      <w:tr>
        <w:trPr>
          <w:cantSplit/>
        </w:trPr>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Regional recycler capacity or licence lapse</w:t>
            </w:r>
          </w:p>
        </w:tc>
        <w:tc>
          <w:tcPr>
            <w:tcW w:type="dxa" w:w="564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Two recyclers per region; quarterly licence checks on the CPCB EPR portal</w:t>
            </w:r>
          </w:p>
        </w:tc>
      </w:tr>
      <w:tr>
        <w:trPr>
          <w:cantSplit/>
        </w:trPr>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Client reluctance to leave the national vendor</w:t>
            </w:r>
          </w:p>
        </w:tc>
        <w:tc>
          <w:tcPr>
            <w:tcW w:type="dxa" w:w="564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Start with one anchor client; publish certified-destruction and carbon reports</w:t>
            </w:r>
          </w:p>
        </w:tc>
      </w:tr>
      <w:tr>
        <w:trPr>
          <w:cantSplit/>
        </w:trPr>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Data access for model retraining</w:t>
            </w:r>
          </w:p>
        </w:tc>
        <w:tc>
          <w:tcPr>
            <w:tcW w:type="dxa" w:w="564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9"/>
                <w:szCs w:val="19"/>
              </w:rPr>
              <w:t xml:space="preserve">Pseudonymised asset feed agreed in contract; no employee data in the model</w:t>
            </w:r>
          </w:p>
        </w:tc>
      </w:tr>
    </w:tbl>
    <w:p>
      <w:pPr>
        <w:spacing w:after="100"/>
      </w:pPr>
    </w:p>
    <w:p>
      <w:pPr>
        <w:pStyle w:val="Heading2"/>
        <w:keepNext/>
        <w:spacing w:after="60" w:before="120" w:line="300"/>
      </w:pPr>
      <w:r>
        <w:rPr>
          <w:rFonts w:ascii="Times New Roman" w:cs="Times New Roman" w:eastAsia="Times New Roman" w:hAnsi="Times New Roman"/>
          <w:b/>
          <w:bCs/>
          <w:color w:val="2D6A4F"/>
          <w:sz w:val="24"/>
          <w:szCs w:val="24"/>
        </w:rPr>
        <w:t xml:space="preserve">Annex E. Dashboard</w:t>
      </w:r>
    </w:p>
    <w:p>
      <w:pPr>
        <w:keepNext/>
        <w:spacing w:after="20" w:before="60"/>
        <w:jc w:val="center"/>
      </w:pPr>
      <w:r>
        <w:drawing>
          <wp:inline distT="0" distB="0" distL="0" distR="0">
            <wp:extent cx="4754880" cy="4133088"/>
            <wp:effectExtent t="0" r="0" b="0" l="0"/>
            <wp:docPr id="1" name="figD_dashboard_top.png" descr="Figure E1. ReLoop Control Tower dashboard (offline HTML; includes a live what-if NPV panel)" title="Figure E1. ReLoop Control Tower dashboard (offline HTML; includes a live what-if NPV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4880" cy="4133088"/>
                    </a:xfrm>
                    <a:prstGeom prst="rect">
                      <a:avLst/>
                    </a:prstGeom>
                  </pic:spPr>
                </pic:pic>
              </a:graphicData>
            </a:graphic>
          </wp:inline>
        </w:drawing>
      </w:r>
    </w:p>
    <w:p>
      <w:pPr>
        <w:spacing w:after="140" w:line="260"/>
        <w:jc w:val="center"/>
      </w:pPr>
      <w:r>
        <w:rPr>
          <w:rFonts w:ascii="Times New Roman" w:cs="Times New Roman" w:eastAsia="Times New Roman" w:hAnsi="Times New Roman"/>
          <w:i/>
          <w:iCs/>
          <w:color w:val="444444"/>
          <w:sz w:val="19"/>
          <w:szCs w:val="19"/>
        </w:rPr>
        <w:t xml:space="preserve">Figure E1. ReLoop Control Tower dashboard (offline HTML; includes a live what-if NPV panel)</w:t>
      </w:r>
    </w:p>
    <w:p>
      <w:pPr>
        <w:pStyle w:val="Heading2"/>
        <w:keepNext/>
        <w:spacing w:after="60" w:before="120" w:line="300"/>
      </w:pPr>
      <w:r>
        <w:rPr>
          <w:rFonts w:ascii="Times New Roman" w:cs="Times New Roman" w:eastAsia="Times New Roman" w:hAnsi="Times New Roman"/>
          <w:b/>
          <w:bCs/>
          <w:color w:val="2D6A4F"/>
          <w:sz w:val="24"/>
          <w:szCs w:val="24"/>
        </w:rPr>
        <w:t xml:space="preserve">Annex F. Data dictionary: synthetic IT-asset return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Field</w:t>
            </w:r>
          </w:p>
        </w:tc>
        <w:tc>
          <w:tcPr>
            <w:tcW w:type="dxa" w:w="5641"/>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18"/>
                <w:szCs w:val="18"/>
              </w:rPr>
              <w:t xml:space="preserve">Description</w:t>
            </w:r>
          </w:p>
        </w:tc>
      </w:tr>
      <w:tr>
        <w:trPr>
          <w:cantSplit/>
        </w:trPr>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asset_type, city</w:t>
            </w:r>
          </w:p>
        </w:tc>
        <w:tc>
          <w:tcPr>
            <w:tcW w:type="dxa" w:w="564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Laptop, desktop, monitor, server, network, mobile; client city</w:t>
            </w:r>
          </w:p>
        </w:tc>
      </w:tr>
      <w:tr>
        <w:trPr>
          <w:cantSplit/>
        </w:trPr>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age_yrs, cpu_gen_gap</w:t>
            </w:r>
          </w:p>
        </w:tc>
        <w:tc>
          <w:tcPr>
            <w:tcW w:type="dxa" w:w="564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Age in years; processor generations behind current</w:t>
            </w:r>
          </w:p>
        </w:tc>
      </w:tr>
      <w:tr>
        <w:trPr>
          <w:cantSplit/>
        </w:trPr>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storage_health_pct, battery_health_pct</w:t>
            </w:r>
          </w:p>
        </w:tc>
        <w:tc>
          <w:tcPr>
            <w:tcW w:type="dxa" w:w="564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Drive health; battery health (blank where not applicable)</w:t>
            </w:r>
          </w:p>
        </w:tc>
      </w:tr>
      <w:tr>
        <w:trPr>
          <w:cantSplit/>
        </w:trPr>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cosmetic_grade, functional_fail, brand_tier</w:t>
            </w:r>
          </w:p>
        </w:tc>
        <w:tc>
          <w:tcPr>
            <w:tcW w:type="dxa" w:w="564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A-D grade (4-1); failed diagnostics flag; enterprise / mid / consumer</w:t>
            </w:r>
          </w:p>
        </w:tc>
      </w:tr>
      <w:tr>
        <w:trPr>
          <w:cantSplit/>
        </w:trPr>
        <w:tc>
          <w:tcPr>
            <w:tcW w:type="dxa" w:w="3385"/>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wipe_verified</w:t>
            </w:r>
          </w:p>
        </w:tc>
        <w:tc>
          <w:tcPr>
            <w:tcW w:type="dxa" w:w="5641"/>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NIST 800-88 wipe passed (if not, asset cannot leave as a device)</w:t>
            </w:r>
          </w:p>
        </w:tc>
      </w:tr>
      <w:tr>
        <w:trPr>
          <w:cantSplit/>
        </w:trPr>
        <w:tc>
          <w:tcPr>
            <w:tcW w:type="dxa" w:w="3385"/>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best_disposition</w:t>
            </w:r>
          </w:p>
        </w:tc>
        <w:tc>
          <w:tcPr>
            <w:tcW w:type="dxa" w:w="5641"/>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18"/>
                <w:szCs w:val="18"/>
              </w:rPr>
              <w:t xml:space="preserve">Target: REDEPLOY, REFURBISH_RESELL, HARVEST_PARTS, RECYCLE</w:t>
            </w:r>
          </w:p>
        </w:tc>
      </w:tr>
    </w:tbl>
    <w:p>
      <w:pPr>
        <w:spacing w:after="10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ReLoop | WAI Report | Himanshu Rai, XW013-25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6e748022c96a8ed298e863350bbc3fdc2b6c6a.png"/><Relationship Id="rId9" Type="http://schemas.openxmlformats.org/officeDocument/2006/relationships/image" Target="media/f66c7088b38b44b17545d2a313c1d154940758bb.png"/><Relationship Id="rId10" Type="http://schemas.openxmlformats.org/officeDocument/2006/relationships/image" Target="media/a432e950a4f6dda1fcc2e19a6d7f0146e84e644e.png"/><Relationship Id="rId11" Type="http://schemas.openxmlformats.org/officeDocument/2006/relationships/image" Target="media/b678b5fc33e49a5eacac837bce96605c91544e9f.png"/><Relationship Id="rId12" Type="http://schemas.openxmlformats.org/officeDocument/2006/relationships/image" Target="media/7c79420805d019281d96d593e4ee00304390c0f9.png"/><Relationship Id="rId13" Type="http://schemas.openxmlformats.org/officeDocument/2006/relationships/image" Target="media/3fad1082885d19b446412f7ef989afb4f2aa1e24.png"/><Relationship Id="rId14" Type="http://schemas.openxmlformats.org/officeDocument/2006/relationships/image" Target="media/b536db938cff52f41789c59a15efd775c1990775.png"/><Relationship Id="rId15" Type="http://schemas.openxmlformats.org/officeDocument/2006/relationships/image" Target="media/fb537ec03714f163d78bea1a189fd5ccc4891536.png"/><Relationship Id="rId16" Type="http://schemas.openxmlformats.org/officeDocument/2006/relationships/image" Target="media/a5d03b2ab5b4bcac36ccc083a3cf59e78133a049.png"/><Relationship Id="rId17" Type="http://schemas.openxmlformats.org/officeDocument/2006/relationships/image" Target="media/119e203220e47af858685d3c8428e48c1eda05b7.png"/><Relationship Id="rId18" Type="http://schemas.openxmlformats.org/officeDocument/2006/relationships/image" Target="media/fdbdae8698c08df2cc5c549feaa9b26260929387.png"/><Relationship Id="rId19" Type="http://schemas.openxmlformats.org/officeDocument/2006/relationships/image" Target="media/1f38f162b582d57ca0431e8f99a588f338720c28.png"/><Relationship Id="rId20" Type="http://schemas.openxmlformats.org/officeDocument/2006/relationships/image" Target="media/4049ae7fd6eb56c0ec180f5c780dfb65635ad90e.png"/><Relationship Id="rId21" Type="http://schemas.openxmlformats.org/officeDocument/2006/relationships/image" Target="media/0fb5aa09b00b118788957634fa8d4e81fb4d85b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ReLoop WAI Report</dc:title>
  <dc:creator>Himanshu Rai</dc:creator>
  <cp:lastModifiedBy>Un-named</cp:lastModifiedBy>
  <cp:revision>1</cp:revision>
  <dcterms:created xsi:type="dcterms:W3CDTF">2026-10-05T11:20:41.306Z</dcterms:created>
  <dcterms:modified xsi:type="dcterms:W3CDTF">2026-10-05T11:20:41.307Z</dcterms:modified>
</cp:coreProperties>
</file>

<file path=docProps/custom.xml><?xml version="1.0" encoding="utf-8"?>
<Properties xmlns="http://schemas.openxmlformats.org/officeDocument/2006/custom-properties" xmlns:vt="http://schemas.openxmlformats.org/officeDocument/2006/docPropsVTypes"/>
</file>