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1A1A1A"/>
          <w:sz w:val="56"/>
          <w:szCs w:val="56"/>
        </w:rPr>
        <w:t xml:space="preserve">AlgoMaster</w:t>
      </w:r>
    </w:p>
    <w:p>
      <w:pPr>
        <w:spacing w:after="0" w:before="120"/>
        <w:jc w:val="center"/>
      </w:pPr>
      <w:r>
        <w:rPr>
          <w:rFonts w:ascii="Arial" w:cs="Arial" w:eastAsia="Arial" w:hAnsi="Arial"/>
          <w:color w:val="555555"/>
          <w:sz w:val="32"/>
          <w:szCs w:val="32"/>
        </w:rPr>
        <w:t xml:space="preserve">End-to-End Application Audit</w:t>
      </w:r>
    </w:p>
    <w:p>
      <w:pPr>
        <w:spacing w:after="0" w:before="60"/>
        <w:jc w:val="center"/>
      </w:pPr>
      <w:r>
        <w:rPr>
          <w:rFonts w:ascii="Arial" w:cs="Arial" w:eastAsia="Arial" w:hAnsi="Arial"/>
          <w:i/>
          <w:iCs/>
          <w:color w:val="2C5AA0"/>
          <w:sz w:val="22"/>
          <w:szCs w:val="22"/>
        </w:rPr>
        <w:t xml:space="preserve">QA  ·  Software Architecture  ·  Product / UX Review</w:t>
      </w:r>
    </w:p>
    <w:p>
      <w:pPr>
        <w:spacing w:after="40" w:before="1600"/>
        <w:jc w:val="center"/>
      </w:pPr>
      <w:r>
        <w:rPr>
          <w:rFonts w:ascii="Arial" w:cs="Arial" w:eastAsia="Arial" w:hAnsi="Arial"/>
          <w:color w:val="555555"/>
          <w:sz w:val="20"/>
          <w:szCs w:val="20"/>
        </w:rPr>
        <w:t xml:space="preserve">Prepared for Aman</w:t>
      </w:r>
    </w:p>
    <w:p>
      <w:pPr>
        <w:spacing w:after="40"/>
        <w:jc w:val="center"/>
      </w:pPr>
      <w:r>
        <w:rPr>
          <w:rFonts w:ascii="Arial" w:cs="Arial" w:eastAsia="Arial" w:hAnsi="Arial"/>
          <w:color w:val="555555"/>
          <w:sz w:val="20"/>
          <w:szCs w:val="20"/>
        </w:rPr>
        <w:t xml:space="preserve">July 2, 2026</w:t>
      </w:r>
    </w:p>
    <w:p>
      <w:pPr>
        <w:spacing w:after="40"/>
        <w:jc w:val="center"/>
      </w:pPr>
      <w:r>
        <w:rPr>
          <w:rFonts w:ascii="Arial" w:cs="Arial" w:eastAsia="Arial" w:hAnsi="Arial"/>
          <w:color w:val="555555"/>
          <w:sz w:val="18"/>
          <w:szCs w:val="18"/>
        </w:rPr>
        <w:t xml:space="preserve">Scope: FastAPI + React/MUI + TimescaleDB self-hosted DSA practice platform</w:t>
      </w:r>
    </w:p>
    <w:p>
      <w:pPr>
        <w:spacing w:after="0" w:before="700"/>
        <w:jc w:val="center"/>
      </w:pPr>
      <w:r>
        <w:rPr>
          <w:rFonts w:ascii="Arial" w:cs="Arial" w:eastAsia="Arial" w:hAnsi="Arial"/>
          <w:b/>
          <w:bCs/>
          <w:color w:val="1A1A1A"/>
          <w:sz w:val="20"/>
          <w:szCs w:val="20"/>
        </w:rPr>
        <w:t xml:space="preserve">26 findings  ·  2 Critical  ·  7 High  ·  9 Medium  ·  8 Low</w:t>
      </w:r>
    </w:p>
    <w:p>
      <w:r>
        <w:br w:type="page"/>
      </w:r>
    </w:p>
    <w:p>
      <w:pPr>
        <w:pStyle w:val="Heading1"/>
      </w:pPr>
      <w:r>
        <w:rPr>
          <w:rFonts w:ascii="Arial" w:cs="Arial" w:eastAsia="Arial" w:hAnsi="Arial"/>
        </w:rPr>
        <w:t xml:space="preserve">Methodology &amp; Scope</w:t>
      </w:r>
    </w:p>
    <w:p>
      <w:pPr>
        <w:spacing w:after="160" w:before="0"/>
      </w:pPr>
      <w:r>
        <w:rPr>
          <w:rFonts w:ascii="Arial" w:cs="Arial" w:eastAsia="Arial" w:hAnsi="Arial"/>
          <w:b w:val="false"/>
          <w:bCs w:val="false"/>
          <w:i w:val="false"/>
          <w:iCs w:val="false"/>
          <w:color w:val="1A1A1A"/>
          <w:sz w:val="21"/>
          <w:szCs w:val="21"/>
        </w:rPr>
        <w:t xml:space="preserve">This audit is a full static, line-by-line review of the AlgoMaster codebase: the FastAPI backend (auth, problems, attempts, analytics, AI coach, admin, and interview-readiness modules), the React/MUI frontend (all six pages and supporting components), the sandboxed Python code-runner, the database schema and migration history, and the Docker Compose / nginx deployment configuration.</w:t>
      </w:r>
    </w:p>
    <w:p>
      <w:pPr>
        <w:spacing w:after="160" w:before="0"/>
      </w:pPr>
      <w:r>
        <w:rPr>
          <w:rFonts w:ascii="Arial" w:cs="Arial" w:eastAsia="Arial" w:hAnsi="Arial"/>
          <w:b w:val="false"/>
          <w:bCs w:val="false"/>
          <w:i w:val="false"/>
          <w:iCs w:val="false"/>
          <w:color w:val="1A1A1A"/>
          <w:sz w:val="21"/>
          <w:szCs w:val="21"/>
        </w:rPr>
        <w:t xml:space="preserve">A live, click-through test of the running application was not possible in this environment: the review sandbox has no Docker daemon available, and the app is architecturally tied to TimescaleDB/PostgreSQL (hypertables, continuous aggregates) that couldn't be faithfully substituted with a lighter database. In place of live testing, every request/response path was traced by hand from frontend call site through API route, business logic, ORM model, and back — including the exact contract between the code-runner's grading harness and the attempts API. All backend Python was verified to compile cleanly, and the frontend was verified to install its dependencies and produce a working Vite build.</w:t>
      </w:r>
    </w:p>
    <w:p>
      <w:pPr>
        <w:spacing w:after="40" w:before="0"/>
      </w:pPr>
      <w:r>
        <w:rPr>
          <w:rFonts w:ascii="Arial" w:cs="Arial" w:eastAsia="Arial" w:hAnsi="Arial"/>
          <w:b w:val="false"/>
          <w:bCs w:val="false"/>
          <w:i w:val="false"/>
          <w:iCs w:val="false"/>
          <w:color w:val="1A1A1A"/>
          <w:sz w:val="21"/>
          <w:szCs w:val="21"/>
        </w:rPr>
        <w:t xml:space="preserve">Findings are grouped by severity. Critical/High items materially affect correctness, security, or trust in the product's core promise (accurate grading and honest progress tracking) and should be addressed first. Medium items are real, narrower-impact bugs or gaps. Low items are maintainability and cleanup debt. A separate section covers UI/UX and accessibility recommendations that aren't bugs per se but affect day-to-day usability, followed by a short list of what's already working well.</w:t>
      </w:r>
    </w:p>
    <w:p>
      <w:pPr>
        <w:pBdr>
          <w:bottom w:val="single" w:color="CCCCCC" w:sz="6" w:space="1"/>
        </w:pBdr>
        <w:spacing w:after="200" w:before="60"/>
      </w:pPr>
    </w:p>
    <w:p>
      <w:pPr>
        <w:pStyle w:val="Heading1"/>
      </w:pPr>
      <w:r>
        <w:rPr>
          <w:rFonts w:ascii="Arial" w:cs="Arial" w:eastAsia="Arial" w:hAnsi="Arial"/>
        </w:rPr>
        <w:t xml:space="preserve">Executive Summary</w:t>
      </w:r>
    </w:p>
    <w:p>
      <w:pPr>
        <w:spacing w:after="140" w:before="0"/>
      </w:pPr>
      <w:r>
        <w:rPr>
          <w:rFonts w:ascii="Arial" w:cs="Arial" w:eastAsia="Arial" w:hAnsi="Arial"/>
          <w:b w:val="false"/>
          <w:bCs w:val="false"/>
          <w:i w:val="false"/>
          <w:iCs w:val="false"/>
          <w:color w:val="1A1A1A"/>
          <w:sz w:val="21"/>
          <w:szCs w:val="21"/>
        </w:rPr>
        <w:t xml:space="preserve">AlgoMaster is a genuinely well-built, feature-rich application — 600 seeded problems across 59 categories, a Monaco-based editor, a real SM-2 spaced-repetition system, a 7-dimension “interview readiness” score, GPT-4o coaching, and a thoughtful analytics engine with streaks, mastery scores, and error-pattern breakdowns. The code is organized sensibly (routers, schemas, and models are cleanly separated) and the dark-mode UI is polished and consistent. This clearly reflects sustained, hands-on iteration rather than a template.</w:t>
      </w:r>
    </w:p>
    <w:p>
      <w:pPr>
        <w:spacing w:after="100" w:before="0"/>
      </w:pPr>
      <w:r>
        <w:rPr>
          <w:rFonts w:ascii="Arial" w:cs="Arial" w:eastAsia="Arial" w:hAnsi="Arial"/>
          <w:b w:val="false"/>
          <w:bCs w:val="false"/>
          <w:i w:val="false"/>
          <w:iCs w:val="false"/>
          <w:color w:val="1A1A1A"/>
          <w:sz w:val="21"/>
          <w:szCs w:val="21"/>
        </w:rPr>
        <w:t xml:space="preserve">That iteration has left scar tissue, though, and this audit's most important findings are about trust in the core loop rather than cosmetic polish:</w:t>
      </w:r>
    </w:p>
    <w:p>
      <w:pPr>
        <w:pStyle w:val="ListParagraph"/>
        <w:numPr>
          <w:ilvl w:val="0"/>
          <w:numId w:val="2"/>
        </w:numPr>
        <w:spacing w:after="80"/>
      </w:pPr>
      <w:r>
        <w:rPr>
          <w:rFonts w:ascii="Arial" w:cs="Arial" w:eastAsia="Arial" w:hAnsi="Arial"/>
          <w:color w:val="1A1A1A"/>
          <w:sz w:val="21"/>
          <w:szCs w:val="21"/>
        </w:rPr>
        <w:t xml:space="preserve">The grading system can be tricked into reporting “Accepted” without solving the problem, because the user's submitted code runs in the same process as the grading harness and can forge the harness's own output line.</w:t>
      </w:r>
    </w:p>
    <w:p>
      <w:pPr>
        <w:pStyle w:val="ListParagraph"/>
        <w:numPr>
          <w:ilvl w:val="0"/>
          <w:numId w:val="2"/>
        </w:numPr>
        <w:spacing w:after="80"/>
      </w:pPr>
      <w:r>
        <w:rPr>
          <w:rFonts w:ascii="Arial" w:cs="Arial" w:eastAsia="Arial" w:hAnsi="Arial"/>
          <w:color w:val="1A1A1A"/>
          <w:sz w:val="21"/>
          <w:szCs w:val="21"/>
        </w:rPr>
        <w:t xml:space="preserve">Every test case's expected output — including the ones “hidden” until Submit — is already sent to the browser the moment a problem loads, so the run-3/submit-all distinction is cosmetic.</w:t>
      </w:r>
    </w:p>
    <w:p>
      <w:pPr>
        <w:pStyle w:val="ListParagraph"/>
        <w:numPr>
          <w:ilvl w:val="0"/>
          <w:numId w:val="2"/>
        </w:numPr>
        <w:spacing w:after="80"/>
      </w:pPr>
      <w:r>
        <w:rPr>
          <w:rFonts w:ascii="Arial" w:cs="Arial" w:eastAsia="Arial" w:hAnsi="Arial"/>
          <w:color w:val="1A1A1A"/>
          <w:sz w:val="21"/>
          <w:szCs w:val="21"/>
        </w:rPr>
        <w:t xml:space="preserve">Infrastructure hiccups (code-runner or OpenAI unreachable) are silently recorded as the user's own wrong answers or displayed as if they were real AI coaching, corrupting both the UX and the analytics the product's value proposition depends on.</w:t>
      </w:r>
    </w:p>
    <w:p>
      <w:pPr>
        <w:pStyle w:val="ListParagraph"/>
        <w:numPr>
          <w:ilvl w:val="0"/>
          <w:numId w:val="2"/>
        </w:numPr>
        <w:spacing w:after="80"/>
      </w:pPr>
      <w:r>
        <w:rPr>
          <w:rFonts w:ascii="Arial" w:cs="Arial" w:eastAsia="Arial" w:hAnsi="Arial"/>
          <w:color w:val="1A1A1A"/>
          <w:sz w:val="21"/>
          <w:szCs w:val="21"/>
        </w:rPr>
        <w:t xml:space="preserve">The database schema is maintained through three overlapping, drifting mechanisms (a SQL bootstrap file, one Alembic migration, and duplicate inline ALTER TABLE code that re-runs on every startup) — a real risk as the schema evolves further.</w:t>
      </w:r>
    </w:p>
    <w:p>
      <w:pPr>
        <w:pStyle w:val="ListParagraph"/>
        <w:numPr>
          <w:ilvl w:val="0"/>
          <w:numId w:val="2"/>
        </w:numPr>
        <w:spacing w:after="80"/>
      </w:pPr>
      <w:r>
        <w:rPr>
          <w:rFonts w:ascii="Arial" w:cs="Arial" w:eastAsia="Arial" w:hAnsi="Arial"/>
          <w:color w:val="1A1A1A"/>
          <w:sz w:val="21"/>
          <w:szCs w:val="21"/>
        </w:rPr>
        <w:t xml:space="preserve">The OpenAI key and the self-hosting/admin model don't fully agree: any signed-up user, not just the admin, can view, replace, or delete the one shared API key and can generate unlimited GPT-4o calls against it with no rate limit.</w:t>
      </w:r>
    </w:p>
    <w:p>
      <w:pPr>
        <w:spacing w:after="40" w:before="0"/>
      </w:pPr>
      <w:r>
        <w:rPr>
          <w:rFonts w:ascii="Arial" w:cs="Arial" w:eastAsia="Arial" w:hAnsi="Arial"/>
          <w:b w:val="false"/>
          <w:bCs w:val="false"/>
          <w:i w:val="false"/>
          <w:iCs w:val="false"/>
          <w:color w:val="1A1A1A"/>
          <w:sz w:val="21"/>
          <w:szCs w:val="21"/>
        </w:rPr>
        <w:t xml:space="preserve">This audit surfaced 26 findings (2 Critical, 7 High, 9 Medium, 8 Low). None require a rewrite — the architecture is sound and every issue has a targeted, contained fix. Recommended order of operations: fix the grading-integrity and hidden-test-case issues first (they undercut the product's reason to exist), then the shared-key/rate-limit and error-swallowing issues (trust and cost), then consolidate the migration story, then work through the UX and cleanup backlog.</w:t>
      </w:r>
    </w:p>
    <w:p>
      <w:pPr>
        <w:pBdr>
          <w:bottom w:val="single" w:color="CCCCCC" w:sz="6" w:space="1"/>
        </w:pBdr>
        <w:spacing w:after="200" w:before="60"/>
      </w:pPr>
    </w:p>
    <w:p>
      <w:pPr>
        <w:pStyle w:val="Heading1"/>
      </w:pPr>
      <w:r>
        <w:rPr>
          <w:rFonts w:ascii="Arial" w:cs="Arial" w:eastAsia="Arial" w:hAnsi="Arial"/>
        </w:rPr>
        <w:t xml:space="preserve">Prioritized Findings</w:t>
      </w:r>
    </w:p>
    <w:p>
      <w:pPr>
        <w:spacing w:after="160" w:before="0"/>
      </w:pPr>
      <w:r>
        <w:rPr>
          <w:rFonts w:ascii="Arial" w:cs="Arial" w:eastAsia="Arial" w:hAnsi="Arial"/>
          <w:b w:val="false"/>
          <w:bCs w:val="false"/>
          <w:i w:val="false"/>
          <w:iCs w:val="false"/>
          <w:color w:val="1A1A1A"/>
          <w:sz w:val="21"/>
          <w:szCs w:val="21"/>
        </w:rPr>
        <w:t xml:space="preserve">Full detail, file references, and recommended fixes for every item follow in the next section, organized in the same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cantSplit/>
          <w:tblHeader/>
        </w:trPr>
        <w:tc>
          <w:tcPr>
            <w:tcW w:type="dxa" w:w="700"/>
            <w:tcBorders>
              <w:top w:val="single" w:color="CCCCCC" w:sz="2"/>
              <w:left w:val="single" w:color="CCCCCC" w:sz="2"/>
              <w:bottom w:val="single" w:color="CCCCCC" w:sz="2"/>
              <w:right w:val="single" w:color="CCCCCC" w:sz="2"/>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2"/>
              <w:left w:val="single" w:color="CCCCCC" w:sz="2"/>
              <w:bottom w:val="single" w:color="CCCCCC" w:sz="2"/>
              <w:right w:val="single" w:color="CCCCCC" w:sz="2"/>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Severity / Area</w:t>
            </w:r>
          </w:p>
        </w:tc>
        <w:tc>
          <w:tcPr>
            <w:tcW w:type="dxa" w:w="6660"/>
            <w:tcBorders>
              <w:top w:val="single" w:color="CCCCCC" w:sz="2"/>
              <w:left w:val="single" w:color="CCCCCC" w:sz="2"/>
              <w:bottom w:val="single" w:color="CCCCCC" w:sz="2"/>
              <w:right w:val="single" w:color="CCCCCC" w:sz="2"/>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w:t>
            </w:r>
          </w:p>
        </w:tc>
        <w:tc>
          <w:tcPr>
            <w:tcW w:type="dxa" w:w="2000"/>
            <w:tcBorders>
              <w:top w:val="single" w:color="CCCCCC" w:sz="2"/>
              <w:left w:val="single" w:color="CCCCCC" w:sz="2"/>
              <w:bottom w:val="single" w:color="CCCCCC" w:sz="2"/>
              <w:right w:val="single" w:color="CCCCCC" w:sz="2"/>
            </w:tcBorders>
            <w:shd w:fill="FDEBEE" w:val="clear"/>
            <w:tcMar>
              <w:top w:type="dxa" w:w="60"/>
              <w:left w:type="dxa" w:w="120"/>
              <w:bottom w:type="dxa" w:w="60"/>
              <w:right w:type="dxa" w:w="120"/>
            </w:tcMar>
          </w:tcPr>
          <w:p>
            <w:r>
              <w:rPr>
                <w:rFonts w:ascii="Arial" w:cs="Arial" w:eastAsia="Arial" w:hAnsi="Arial"/>
                <w:b/>
                <w:bCs/>
                <w:color w:val="B00020"/>
                <w:sz w:val="18"/>
                <w:szCs w:val="18"/>
              </w:rPr>
              <w:t xml:space="preserve">Critical</w:t>
            </w:r>
          </w:p>
          <w:p>
            <w:r>
              <w:rPr>
                <w:rFonts w:ascii="Arial" w:cs="Arial" w:eastAsia="Arial" w:hAnsi="Arial"/>
                <w:color w:val="555555"/>
                <w:sz w:val="16"/>
                <w:szCs w:val="16"/>
              </w:rPr>
              <w:t xml:space="preserve">Grading Integrity</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Users can forge an “Accepted” verdict without solving the problem</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2</w:t>
            </w:r>
          </w:p>
        </w:tc>
        <w:tc>
          <w:tcPr>
            <w:tcW w:type="dxa" w:w="2000"/>
            <w:tcBorders>
              <w:top w:val="single" w:color="CCCCCC" w:sz="2"/>
              <w:left w:val="single" w:color="CCCCCC" w:sz="2"/>
              <w:bottom w:val="single" w:color="CCCCCC" w:sz="2"/>
              <w:right w:val="single" w:color="CCCCCC" w:sz="2"/>
            </w:tcBorders>
            <w:shd w:fill="FDEBEE" w:val="clear"/>
            <w:tcMar>
              <w:top w:type="dxa" w:w="60"/>
              <w:left w:type="dxa" w:w="120"/>
              <w:bottom w:type="dxa" w:w="60"/>
              <w:right w:type="dxa" w:w="120"/>
            </w:tcMar>
          </w:tcPr>
          <w:p>
            <w:r>
              <w:rPr>
                <w:rFonts w:ascii="Arial" w:cs="Arial" w:eastAsia="Arial" w:hAnsi="Arial"/>
                <w:b/>
                <w:bCs/>
                <w:color w:val="B00020"/>
                <w:sz w:val="18"/>
                <w:szCs w:val="18"/>
              </w:rPr>
              <w:t xml:space="preserve">Critical</w:t>
            </w:r>
          </w:p>
          <w:p>
            <w:r>
              <w:rPr>
                <w:rFonts w:ascii="Arial" w:cs="Arial" w:eastAsia="Arial" w:hAnsi="Arial"/>
                <w:color w:val="555555"/>
                <w:sz w:val="16"/>
                <w:szCs w:val="16"/>
              </w:rPr>
              <w:t xml:space="preserve">Grading Integrity</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All test cases — including “hidden” ones — are sent to the browser before the user runs any code</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3</w:t>
            </w:r>
          </w:p>
        </w:tc>
        <w:tc>
          <w:tcPr>
            <w:tcW w:type="dxa" w:w="2000"/>
            <w:tcBorders>
              <w:top w:val="single" w:color="CCCCCC" w:sz="2"/>
              <w:left w:val="single" w:color="CCCCCC" w:sz="2"/>
              <w:bottom w:val="single" w:color="CCCCCC" w:sz="2"/>
              <w:right w:val="single" w:color="CCCCCC" w:sz="2"/>
            </w:tcBorders>
            <w:shd w:fill="FDF1E6" w:val="clear"/>
            <w:tcMar>
              <w:top w:type="dxa" w:w="60"/>
              <w:left w:type="dxa" w:w="120"/>
              <w:bottom w:type="dxa" w:w="60"/>
              <w:right w:type="dxa" w:w="120"/>
            </w:tcMar>
          </w:tcPr>
          <w:p>
            <w:r>
              <w:rPr>
                <w:rFonts w:ascii="Arial" w:cs="Arial" w:eastAsia="Arial" w:hAnsi="Arial"/>
                <w:b/>
                <w:bCs/>
                <w:color w:val="C0530A"/>
                <w:sz w:val="18"/>
                <w:szCs w:val="18"/>
              </w:rPr>
              <w:t xml:space="preserve">High</w:t>
            </w:r>
          </w:p>
          <w:p>
            <w:r>
              <w:rPr>
                <w:rFonts w:ascii="Arial" w:cs="Arial" w:eastAsia="Arial" w:hAnsi="Arial"/>
                <w:color w:val="555555"/>
                <w:sz w:val="16"/>
                <w:szCs w:val="16"/>
              </w:rPr>
              <w:t xml:space="preserve">Access Control</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The OpenAI API key is a single global setting any signed-up user can read, replace, or delete</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4</w:t>
            </w:r>
          </w:p>
        </w:tc>
        <w:tc>
          <w:tcPr>
            <w:tcW w:type="dxa" w:w="2000"/>
            <w:tcBorders>
              <w:top w:val="single" w:color="CCCCCC" w:sz="2"/>
              <w:left w:val="single" w:color="CCCCCC" w:sz="2"/>
              <w:bottom w:val="single" w:color="CCCCCC" w:sz="2"/>
              <w:right w:val="single" w:color="CCCCCC" w:sz="2"/>
            </w:tcBorders>
            <w:shd w:fill="FDF1E6" w:val="clear"/>
            <w:tcMar>
              <w:top w:type="dxa" w:w="60"/>
              <w:left w:type="dxa" w:w="120"/>
              <w:bottom w:type="dxa" w:w="60"/>
              <w:right w:type="dxa" w:w="120"/>
            </w:tcMar>
          </w:tcPr>
          <w:p>
            <w:r>
              <w:rPr>
                <w:rFonts w:ascii="Arial" w:cs="Arial" w:eastAsia="Arial" w:hAnsi="Arial"/>
                <w:b/>
                <w:bCs/>
                <w:color w:val="C0530A"/>
                <w:sz w:val="18"/>
                <w:szCs w:val="18"/>
              </w:rPr>
              <w:t xml:space="preserve">High</w:t>
            </w:r>
          </w:p>
          <w:p>
            <w:r>
              <w:rPr>
                <w:rFonts w:ascii="Arial" w:cs="Arial" w:eastAsia="Arial" w:hAnsi="Arial"/>
                <w:color w:val="555555"/>
                <w:sz w:val="16"/>
                <w:szCs w:val="16"/>
              </w:rPr>
              <w:t xml:space="preserve">Cost / Abuse Control</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No rate limiting on AI Coach endpoints — unbounded GPT-4o spend</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5</w:t>
            </w:r>
          </w:p>
        </w:tc>
        <w:tc>
          <w:tcPr>
            <w:tcW w:type="dxa" w:w="2000"/>
            <w:tcBorders>
              <w:top w:val="single" w:color="CCCCCC" w:sz="2"/>
              <w:left w:val="single" w:color="CCCCCC" w:sz="2"/>
              <w:bottom w:val="single" w:color="CCCCCC" w:sz="2"/>
              <w:right w:val="single" w:color="CCCCCC" w:sz="2"/>
            </w:tcBorders>
            <w:shd w:fill="FDF1E6" w:val="clear"/>
            <w:tcMar>
              <w:top w:type="dxa" w:w="60"/>
              <w:left w:type="dxa" w:w="120"/>
              <w:bottom w:type="dxa" w:w="60"/>
              <w:right w:type="dxa" w:w="120"/>
            </w:tcMar>
          </w:tcPr>
          <w:p>
            <w:r>
              <w:rPr>
                <w:rFonts w:ascii="Arial" w:cs="Arial" w:eastAsia="Arial" w:hAnsi="Arial"/>
                <w:b/>
                <w:bCs/>
                <w:color w:val="C0530A"/>
                <w:sz w:val="18"/>
                <w:szCs w:val="18"/>
              </w:rPr>
              <w:t xml:space="preserve">High</w:t>
            </w:r>
          </w:p>
          <w:p>
            <w:r>
              <w:rPr>
                <w:rFonts w:ascii="Arial" w:cs="Arial" w:eastAsia="Arial" w:hAnsi="Arial"/>
                <w:color w:val="555555"/>
                <w:sz w:val="16"/>
                <w:szCs w:val="16"/>
              </w:rPr>
              <w:t xml:space="preserve">Error Handling / Analytics Integrity</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Code-runner outages are silently recorded as the user's own wrong answers</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6</w:t>
            </w:r>
          </w:p>
        </w:tc>
        <w:tc>
          <w:tcPr>
            <w:tcW w:type="dxa" w:w="2000"/>
            <w:tcBorders>
              <w:top w:val="single" w:color="CCCCCC" w:sz="2"/>
              <w:left w:val="single" w:color="CCCCCC" w:sz="2"/>
              <w:bottom w:val="single" w:color="CCCCCC" w:sz="2"/>
              <w:right w:val="single" w:color="CCCCCC" w:sz="2"/>
            </w:tcBorders>
            <w:shd w:fill="FDF1E6" w:val="clear"/>
            <w:tcMar>
              <w:top w:type="dxa" w:w="60"/>
              <w:left w:type="dxa" w:w="120"/>
              <w:bottom w:type="dxa" w:w="60"/>
              <w:right w:type="dxa" w:w="120"/>
            </w:tcMar>
          </w:tcPr>
          <w:p>
            <w:r>
              <w:rPr>
                <w:rFonts w:ascii="Arial" w:cs="Arial" w:eastAsia="Arial" w:hAnsi="Arial"/>
                <w:b/>
                <w:bCs/>
                <w:color w:val="C0530A"/>
                <w:sz w:val="18"/>
                <w:szCs w:val="18"/>
              </w:rPr>
              <w:t xml:space="preserve">High</w:t>
            </w:r>
          </w:p>
          <w:p>
            <w:r>
              <w:rPr>
                <w:rFonts w:ascii="Arial" w:cs="Arial" w:eastAsia="Arial" w:hAnsi="Arial"/>
                <w:color w:val="555555"/>
                <w:sz w:val="16"/>
                <w:szCs w:val="16"/>
              </w:rPr>
              <w:t xml:space="preserve">Error Handling / UX Trust</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Failed AI calls are returned as HTTP 200 and rendered identically to real coaching content</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7</w:t>
            </w:r>
          </w:p>
        </w:tc>
        <w:tc>
          <w:tcPr>
            <w:tcW w:type="dxa" w:w="2000"/>
            <w:tcBorders>
              <w:top w:val="single" w:color="CCCCCC" w:sz="2"/>
              <w:left w:val="single" w:color="CCCCCC" w:sz="2"/>
              <w:bottom w:val="single" w:color="CCCCCC" w:sz="2"/>
              <w:right w:val="single" w:color="CCCCCC" w:sz="2"/>
            </w:tcBorders>
            <w:shd w:fill="FDF1E6" w:val="clear"/>
            <w:tcMar>
              <w:top w:type="dxa" w:w="60"/>
              <w:left w:type="dxa" w:w="120"/>
              <w:bottom w:type="dxa" w:w="60"/>
              <w:right w:type="dxa" w:w="120"/>
            </w:tcMar>
          </w:tcPr>
          <w:p>
            <w:r>
              <w:rPr>
                <w:rFonts w:ascii="Arial" w:cs="Arial" w:eastAsia="Arial" w:hAnsi="Arial"/>
                <w:b/>
                <w:bCs/>
                <w:color w:val="C0530A"/>
                <w:sz w:val="18"/>
                <w:szCs w:val="18"/>
              </w:rPr>
              <w:t xml:space="preserve">High</w:t>
            </w:r>
          </w:p>
          <w:p>
            <w:r>
              <w:rPr>
                <w:rFonts w:ascii="Arial" w:cs="Arial" w:eastAsia="Arial" w:hAnsi="Arial"/>
                <w:color w:val="555555"/>
                <w:sz w:val="16"/>
                <w:szCs w:val="16"/>
              </w:rPr>
              <w:t xml:space="preserve">Architecture / Schema Management</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Three overlapping, drifting database-migration mechanisms</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8</w:t>
            </w:r>
          </w:p>
        </w:tc>
        <w:tc>
          <w:tcPr>
            <w:tcW w:type="dxa" w:w="2000"/>
            <w:tcBorders>
              <w:top w:val="single" w:color="CCCCCC" w:sz="2"/>
              <w:left w:val="single" w:color="CCCCCC" w:sz="2"/>
              <w:bottom w:val="single" w:color="CCCCCC" w:sz="2"/>
              <w:right w:val="single" w:color="CCCCCC" w:sz="2"/>
            </w:tcBorders>
            <w:shd w:fill="FDF1E6" w:val="clear"/>
            <w:tcMar>
              <w:top w:type="dxa" w:w="60"/>
              <w:left w:type="dxa" w:w="120"/>
              <w:bottom w:type="dxa" w:w="60"/>
              <w:right w:type="dxa" w:w="120"/>
            </w:tcMar>
          </w:tcPr>
          <w:p>
            <w:r>
              <w:rPr>
                <w:rFonts w:ascii="Arial" w:cs="Arial" w:eastAsia="Arial" w:hAnsi="Arial"/>
                <w:b/>
                <w:bCs/>
                <w:color w:val="C0530A"/>
                <w:sz w:val="18"/>
                <w:szCs w:val="18"/>
              </w:rPr>
              <w:t xml:space="preserve">High</w:t>
            </w:r>
          </w:p>
          <w:p>
            <w:r>
              <w:rPr>
                <w:rFonts w:ascii="Arial" w:cs="Arial" w:eastAsia="Arial" w:hAnsi="Arial"/>
                <w:color w:val="555555"/>
                <w:sz w:val="16"/>
                <w:szCs w:val="16"/>
              </w:rPr>
              <w:t xml:space="preserve">UI/UX — Responsiveness</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No responsive layout — the app is effectively unusable below desktop widths</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9</w:t>
            </w:r>
          </w:p>
        </w:tc>
        <w:tc>
          <w:tcPr>
            <w:tcW w:type="dxa" w:w="2000"/>
            <w:tcBorders>
              <w:top w:val="single" w:color="CCCCCC" w:sz="2"/>
              <w:left w:val="single" w:color="CCCCCC" w:sz="2"/>
              <w:bottom w:val="single" w:color="CCCCCC" w:sz="2"/>
              <w:right w:val="single" w:color="CCCCCC" w:sz="2"/>
            </w:tcBorders>
            <w:shd w:fill="FDF1E6" w:val="clear"/>
            <w:tcMar>
              <w:top w:type="dxa" w:w="60"/>
              <w:left w:type="dxa" w:w="120"/>
              <w:bottom w:type="dxa" w:w="60"/>
              <w:right w:type="dxa" w:w="120"/>
            </w:tcMar>
          </w:tcPr>
          <w:p>
            <w:r>
              <w:rPr>
                <w:rFonts w:ascii="Arial" w:cs="Arial" w:eastAsia="Arial" w:hAnsi="Arial"/>
                <w:b/>
                <w:bCs/>
                <w:color w:val="C0530A"/>
                <w:sz w:val="18"/>
                <w:szCs w:val="18"/>
              </w:rPr>
              <w:t xml:space="preserve">High</w:t>
            </w:r>
          </w:p>
          <w:p>
            <w:r>
              <w:rPr>
                <w:rFonts w:ascii="Arial" w:cs="Arial" w:eastAsia="Arial" w:hAnsi="Arial"/>
                <w:color w:val="555555"/>
                <w:sz w:val="16"/>
                <w:szCs w:val="16"/>
              </w:rPr>
              <w:t xml:space="preserve">Infrastructure / Secrets</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Postgres is published on the host network with the documented default password</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10</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Auth</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First-admin promotion and duplicate-account checks have a race condition</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11</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Auth / Validation</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Password strength check doesn't actually require letters and numbers</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12</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Analytics Correctness</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Longest solve-streak is undercounted by one day in the common case</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13</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Grading Correctness</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The grading harness can call the wrong function for multi-function solutions</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14</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Deployment / Performance</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The documented “production” Docker Compose setup runs the frontend's dev server, not a build</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15</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Code-Runner / Resource Limits</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Declared execution limits aren't actually enforced by the code that reads them</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16</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Data Migration</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Legacy sentinel data isn't fully claimed by the first registered user</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17</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UI/UX — Analytics Accuracy</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The solve timer defaults to off, likely undercounting time-spent analytics for most users</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18</w:t>
            </w:r>
          </w:p>
        </w:tc>
        <w:tc>
          <w:tcPr>
            <w:tcW w:type="dxa" w:w="2000"/>
            <w:tcBorders>
              <w:top w:val="single" w:color="CCCCCC" w:sz="2"/>
              <w:left w:val="single" w:color="CCCCCC" w:sz="2"/>
              <w:bottom w:val="single" w:color="CCCCCC" w:sz="2"/>
              <w:right w:val="single" w:color="CCCCCC" w:sz="2"/>
            </w:tcBorders>
            <w:shd w:fill="FCF6E3" w:val="clear"/>
            <w:tcMar>
              <w:top w:type="dxa" w:w="60"/>
              <w:left w:type="dxa" w:w="120"/>
              <w:bottom w:type="dxa" w:w="60"/>
              <w:right w:type="dxa" w:w="120"/>
            </w:tcMar>
          </w:tcPr>
          <w:p>
            <w:r>
              <w:rPr>
                <w:rFonts w:ascii="Arial" w:cs="Arial" w:eastAsia="Arial" w:hAnsi="Arial"/>
                <w:b/>
                <w:bCs/>
                <w:color w:val="9A7B0A"/>
                <w:sz w:val="18"/>
                <w:szCs w:val="18"/>
              </w:rPr>
              <w:t xml:space="preserve">Medium</w:t>
            </w:r>
          </w:p>
          <w:p>
            <w:r>
              <w:rPr>
                <w:rFonts w:ascii="Arial" w:cs="Arial" w:eastAsia="Arial" w:hAnsi="Arial"/>
                <w:color w:val="555555"/>
                <w:sz w:val="16"/>
                <w:szCs w:val="16"/>
              </w:rPr>
              <w:t xml:space="preserve">Product Copy Accuracy</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Settings page overstates the encryption used for the stored API key</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19</w:t>
            </w:r>
          </w:p>
        </w:tc>
        <w:tc>
          <w:tcPr>
            <w:tcW w:type="dxa" w:w="2000"/>
            <w:tcBorders>
              <w:top w:val="single" w:color="CCCCCC" w:sz="2"/>
              <w:left w:val="single" w:color="CCCCCC" w:sz="2"/>
              <w:bottom w:val="single" w:color="CCCCCC" w:sz="2"/>
              <w:right w:val="single" w:color="CCCCCC" w:sz="2"/>
            </w:tcBorders>
            <w:shd w:fill="EEF1F3" w:val="clear"/>
            <w:tcMar>
              <w:top w:type="dxa" w:w="60"/>
              <w:left w:type="dxa" w:w="120"/>
              <w:bottom w:type="dxa" w:w="60"/>
              <w:right w:type="dxa" w:w="120"/>
            </w:tcMar>
          </w:tcPr>
          <w:p>
            <w:r>
              <w:rPr>
                <w:rFonts w:ascii="Arial" w:cs="Arial" w:eastAsia="Arial" w:hAnsi="Arial"/>
                <w:b/>
                <w:bCs/>
                <w:color w:val="555F6B"/>
                <w:sz w:val="18"/>
                <w:szCs w:val="18"/>
              </w:rPr>
              <w:t xml:space="preserve">Low</w:t>
            </w:r>
          </w:p>
          <w:p>
            <w:r>
              <w:rPr>
                <w:rFonts w:ascii="Arial" w:cs="Arial" w:eastAsia="Arial" w:hAnsi="Arial"/>
                <w:color w:val="555555"/>
                <w:sz w:val="16"/>
                <w:szCs w:val="16"/>
              </w:rPr>
              <w:t xml:space="preserve">Repo Hygiene</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A stale, git-committed frontend build sits unused inside the backend</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20</w:t>
            </w:r>
          </w:p>
        </w:tc>
        <w:tc>
          <w:tcPr>
            <w:tcW w:type="dxa" w:w="2000"/>
            <w:tcBorders>
              <w:top w:val="single" w:color="CCCCCC" w:sz="2"/>
              <w:left w:val="single" w:color="CCCCCC" w:sz="2"/>
              <w:bottom w:val="single" w:color="CCCCCC" w:sz="2"/>
              <w:right w:val="single" w:color="CCCCCC" w:sz="2"/>
            </w:tcBorders>
            <w:shd w:fill="EEF1F3" w:val="clear"/>
            <w:tcMar>
              <w:top w:type="dxa" w:w="60"/>
              <w:left w:type="dxa" w:w="120"/>
              <w:bottom w:type="dxa" w:w="60"/>
              <w:right w:type="dxa" w:w="120"/>
            </w:tcMar>
          </w:tcPr>
          <w:p>
            <w:r>
              <w:rPr>
                <w:rFonts w:ascii="Arial" w:cs="Arial" w:eastAsia="Arial" w:hAnsi="Arial"/>
                <w:b/>
                <w:bCs/>
                <w:color w:val="555F6B"/>
                <w:sz w:val="18"/>
                <w:szCs w:val="18"/>
              </w:rPr>
              <w:t xml:space="preserve">Low</w:t>
            </w:r>
          </w:p>
          <w:p>
            <w:r>
              <w:rPr>
                <w:rFonts w:ascii="Arial" w:cs="Arial" w:eastAsia="Arial" w:hAnsi="Arial"/>
                <w:color w:val="555555"/>
                <w:sz w:val="16"/>
                <w:szCs w:val="16"/>
              </w:rPr>
              <w:t xml:space="preserve">Database / Performance</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A TimescaleDB continuous aggregate is created and refreshed but never queried</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21</w:t>
            </w:r>
          </w:p>
        </w:tc>
        <w:tc>
          <w:tcPr>
            <w:tcW w:type="dxa" w:w="2000"/>
            <w:tcBorders>
              <w:top w:val="single" w:color="CCCCCC" w:sz="2"/>
              <w:left w:val="single" w:color="CCCCCC" w:sz="2"/>
              <w:bottom w:val="single" w:color="CCCCCC" w:sz="2"/>
              <w:right w:val="single" w:color="CCCCCC" w:sz="2"/>
            </w:tcBorders>
            <w:shd w:fill="EEF1F3" w:val="clear"/>
            <w:tcMar>
              <w:top w:type="dxa" w:w="60"/>
              <w:left w:type="dxa" w:w="120"/>
              <w:bottom w:type="dxa" w:w="60"/>
              <w:right w:type="dxa" w:w="120"/>
            </w:tcMar>
          </w:tcPr>
          <w:p>
            <w:r>
              <w:rPr>
                <w:rFonts w:ascii="Arial" w:cs="Arial" w:eastAsia="Arial" w:hAnsi="Arial"/>
                <w:b/>
                <w:bCs/>
                <w:color w:val="555F6B"/>
                <w:sz w:val="18"/>
                <w:szCs w:val="18"/>
              </w:rPr>
              <w:t xml:space="preserve">Low</w:t>
            </w:r>
          </w:p>
          <w:p>
            <w:r>
              <w:rPr>
                <w:rFonts w:ascii="Arial" w:cs="Arial" w:eastAsia="Arial" w:hAnsi="Arial"/>
                <w:color w:val="555555"/>
                <w:sz w:val="16"/>
                <w:szCs w:val="16"/>
              </w:rPr>
              <w:t xml:space="preserve">Code Quality</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Admin problem-lookup by slug uses loose substring matching over a full table scan</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22</w:t>
            </w:r>
          </w:p>
        </w:tc>
        <w:tc>
          <w:tcPr>
            <w:tcW w:type="dxa" w:w="2000"/>
            <w:tcBorders>
              <w:top w:val="single" w:color="CCCCCC" w:sz="2"/>
              <w:left w:val="single" w:color="CCCCCC" w:sz="2"/>
              <w:bottom w:val="single" w:color="CCCCCC" w:sz="2"/>
              <w:right w:val="single" w:color="CCCCCC" w:sz="2"/>
            </w:tcBorders>
            <w:shd w:fill="EEF1F3" w:val="clear"/>
            <w:tcMar>
              <w:top w:type="dxa" w:w="60"/>
              <w:left w:type="dxa" w:w="120"/>
              <w:bottom w:type="dxa" w:w="60"/>
              <w:right w:type="dxa" w:w="120"/>
            </w:tcMar>
          </w:tcPr>
          <w:p>
            <w:r>
              <w:rPr>
                <w:rFonts w:ascii="Arial" w:cs="Arial" w:eastAsia="Arial" w:hAnsi="Arial"/>
                <w:b/>
                <w:bCs/>
                <w:color w:val="555F6B"/>
                <w:sz w:val="18"/>
                <w:szCs w:val="18"/>
              </w:rPr>
              <w:t xml:space="preserve">Low</w:t>
            </w:r>
          </w:p>
          <w:p>
            <w:r>
              <w:rPr>
                <w:rFonts w:ascii="Arial" w:cs="Arial" w:eastAsia="Arial" w:hAnsi="Arial"/>
                <w:color w:val="555555"/>
                <w:sz w:val="16"/>
                <w:szCs w:val="16"/>
              </w:rPr>
              <w:t xml:space="preserve">Code Quality</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Miscellaneous dead code and API-contract drift</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23</w:t>
            </w:r>
          </w:p>
        </w:tc>
        <w:tc>
          <w:tcPr>
            <w:tcW w:type="dxa" w:w="2000"/>
            <w:tcBorders>
              <w:top w:val="single" w:color="CCCCCC" w:sz="2"/>
              <w:left w:val="single" w:color="CCCCCC" w:sz="2"/>
              <w:bottom w:val="single" w:color="CCCCCC" w:sz="2"/>
              <w:right w:val="single" w:color="CCCCCC" w:sz="2"/>
            </w:tcBorders>
            <w:shd w:fill="EEF1F3" w:val="clear"/>
            <w:tcMar>
              <w:top w:type="dxa" w:w="60"/>
              <w:left w:type="dxa" w:w="120"/>
              <w:bottom w:type="dxa" w:w="60"/>
              <w:right w:type="dxa" w:w="120"/>
            </w:tcMar>
          </w:tcPr>
          <w:p>
            <w:r>
              <w:rPr>
                <w:rFonts w:ascii="Arial" w:cs="Arial" w:eastAsia="Arial" w:hAnsi="Arial"/>
                <w:b/>
                <w:bCs/>
                <w:color w:val="555F6B"/>
                <w:sz w:val="18"/>
                <w:szCs w:val="18"/>
              </w:rPr>
              <w:t xml:space="preserve">Low</w:t>
            </w:r>
          </w:p>
          <w:p>
            <w:r>
              <w:rPr>
                <w:rFonts w:ascii="Arial" w:cs="Arial" w:eastAsia="Arial" w:hAnsi="Arial"/>
                <w:color w:val="555555"/>
                <w:sz w:val="16"/>
                <w:szCs w:val="16"/>
              </w:rPr>
              <w:t xml:space="preserve">Documentation</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The Interview Readiness feature is entirely undocumented</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24</w:t>
            </w:r>
          </w:p>
        </w:tc>
        <w:tc>
          <w:tcPr>
            <w:tcW w:type="dxa" w:w="2000"/>
            <w:tcBorders>
              <w:top w:val="single" w:color="CCCCCC" w:sz="2"/>
              <w:left w:val="single" w:color="CCCCCC" w:sz="2"/>
              <w:bottom w:val="single" w:color="CCCCCC" w:sz="2"/>
              <w:right w:val="single" w:color="CCCCCC" w:sz="2"/>
            </w:tcBorders>
            <w:shd w:fill="EEF1F3" w:val="clear"/>
            <w:tcMar>
              <w:top w:type="dxa" w:w="60"/>
              <w:left w:type="dxa" w:w="120"/>
              <w:bottom w:type="dxa" w:w="60"/>
              <w:right w:type="dxa" w:w="120"/>
            </w:tcMar>
          </w:tcPr>
          <w:p>
            <w:r>
              <w:rPr>
                <w:rFonts w:ascii="Arial" w:cs="Arial" w:eastAsia="Arial" w:hAnsi="Arial"/>
                <w:b/>
                <w:bCs/>
                <w:color w:val="555F6B"/>
                <w:sz w:val="18"/>
                <w:szCs w:val="18"/>
              </w:rPr>
              <w:t xml:space="preserve">Low</w:t>
            </w:r>
          </w:p>
          <w:p>
            <w:r>
              <w:rPr>
                <w:rFonts w:ascii="Arial" w:cs="Arial" w:eastAsia="Arial" w:hAnsi="Arial"/>
                <w:color w:val="555555"/>
                <w:sz w:val="16"/>
                <w:szCs w:val="16"/>
              </w:rPr>
              <w:t xml:space="preserve">UI Consistency</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A native browser confirm() dialog breaks the app's otherwise consistent MUI design language</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25</w:t>
            </w:r>
          </w:p>
        </w:tc>
        <w:tc>
          <w:tcPr>
            <w:tcW w:type="dxa" w:w="2000"/>
            <w:tcBorders>
              <w:top w:val="single" w:color="CCCCCC" w:sz="2"/>
              <w:left w:val="single" w:color="CCCCCC" w:sz="2"/>
              <w:bottom w:val="single" w:color="CCCCCC" w:sz="2"/>
              <w:right w:val="single" w:color="CCCCCC" w:sz="2"/>
            </w:tcBorders>
            <w:shd w:fill="EEF1F3" w:val="clear"/>
            <w:tcMar>
              <w:top w:type="dxa" w:w="60"/>
              <w:left w:type="dxa" w:w="120"/>
              <w:bottom w:type="dxa" w:w="60"/>
              <w:right w:type="dxa" w:w="120"/>
            </w:tcMar>
          </w:tcPr>
          <w:p>
            <w:r>
              <w:rPr>
                <w:rFonts w:ascii="Arial" w:cs="Arial" w:eastAsia="Arial" w:hAnsi="Arial"/>
                <w:b/>
                <w:bCs/>
                <w:color w:val="555F6B"/>
                <w:sz w:val="18"/>
                <w:szCs w:val="18"/>
              </w:rPr>
              <w:t xml:space="preserve">Low</w:t>
            </w:r>
          </w:p>
          <w:p>
            <w:r>
              <w:rPr>
                <w:rFonts w:ascii="Arial" w:cs="Arial" w:eastAsia="Arial" w:hAnsi="Arial"/>
                <w:color w:val="555555"/>
                <w:sz w:val="16"/>
                <w:szCs w:val="16"/>
              </w:rPr>
              <w:t xml:space="preserve">Navigation UX</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Session-expiry redirect does a full page reload instead of client-side navigation</w:t>
            </w:r>
          </w:p>
        </w:tc>
      </w:tr>
      <w:tr>
        <w:trPr>
          <w:cantSplit/>
        </w:trPr>
        <w:tc>
          <w:tcPr>
            <w:tcW w:type="dxa" w:w="70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26</w:t>
            </w:r>
          </w:p>
        </w:tc>
        <w:tc>
          <w:tcPr>
            <w:tcW w:type="dxa" w:w="2000"/>
            <w:tcBorders>
              <w:top w:val="single" w:color="CCCCCC" w:sz="2"/>
              <w:left w:val="single" w:color="CCCCCC" w:sz="2"/>
              <w:bottom w:val="single" w:color="CCCCCC" w:sz="2"/>
              <w:right w:val="single" w:color="CCCCCC" w:sz="2"/>
            </w:tcBorders>
            <w:shd w:fill="EEF1F3" w:val="clear"/>
            <w:tcMar>
              <w:top w:type="dxa" w:w="60"/>
              <w:left w:type="dxa" w:w="120"/>
              <w:bottom w:type="dxa" w:w="60"/>
              <w:right w:type="dxa" w:w="120"/>
            </w:tcMar>
          </w:tcPr>
          <w:p>
            <w:r>
              <w:rPr>
                <w:rFonts w:ascii="Arial" w:cs="Arial" w:eastAsia="Arial" w:hAnsi="Arial"/>
                <w:b/>
                <w:bCs/>
                <w:color w:val="555F6B"/>
                <w:sz w:val="18"/>
                <w:szCs w:val="18"/>
              </w:rPr>
              <w:t xml:space="preserve">Low</w:t>
            </w:r>
          </w:p>
          <w:p>
            <w:r>
              <w:rPr>
                <w:rFonts w:ascii="Arial" w:cs="Arial" w:eastAsia="Arial" w:hAnsi="Arial"/>
                <w:color w:val="555555"/>
                <w:sz w:val="16"/>
                <w:szCs w:val="16"/>
              </w:rPr>
              <w:t xml:space="preserve">Infrastructure</w:t>
            </w:r>
          </w:p>
        </w:tc>
        <w:tc>
          <w:tcPr>
            <w:tcW w:type="dxa" w:w="6660"/>
            <w:tcBorders>
              <w:top w:val="single" w:color="CCCCCC" w:sz="2"/>
              <w:left w:val="single" w:color="CCCCCC" w:sz="2"/>
              <w:bottom w:val="single" w:color="CCCCCC" w:sz="2"/>
              <w:right w:val="single" w:color="CCCCCC" w:sz="2"/>
            </w:tcBorders>
            <w:tcMar>
              <w:top w:type="dxa" w:w="60"/>
              <w:left w:type="dxa" w:w="120"/>
              <w:bottom w:type="dxa" w:w="60"/>
              <w:right w:type="dxa" w:w="120"/>
            </w:tcMar>
          </w:tcPr>
          <w:p>
            <w:r>
              <w:rPr>
                <w:rFonts w:ascii="Arial" w:cs="Arial" w:eastAsia="Arial" w:hAnsi="Arial"/>
                <w:sz w:val="18"/>
                <w:szCs w:val="18"/>
              </w:rPr>
              <w:t xml:space="preserve">No resource limits on backend, frontend, nginx, or db containers</w:t>
            </w:r>
          </w:p>
        </w:tc>
      </w:tr>
    </w:tbl>
    <w:p>
      <w:r>
        <w:br w:type="page"/>
      </w:r>
    </w:p>
    <w:p>
      <w:pPr>
        <w:pStyle w:val="Heading1"/>
      </w:pPr>
      <w:r>
        <w:rPr>
          <w:rFonts w:ascii="Arial" w:cs="Arial" w:eastAsia="Arial" w:hAnsi="Arial"/>
        </w:rPr>
        <w:t xml:space="preserve">Critical Findings</w:t>
      </w:r>
    </w:p>
    <w:p>
      <w:pPr>
        <w:spacing w:after="160" w:before="0"/>
      </w:pPr>
      <w:r>
        <w:rPr>
          <w:rFonts w:ascii="Arial" w:cs="Arial" w:eastAsia="Arial" w:hAnsi="Arial"/>
          <w:b w:val="false"/>
          <w:bCs w:val="false"/>
          <w:i w:val="false"/>
          <w:iCs w:val="false"/>
          <w:color w:val="1A1A1A"/>
          <w:sz w:val="21"/>
          <w:szCs w:val="21"/>
        </w:rPr>
        <w:t xml:space="preserve">These two findings go directly to whether the product's central promise — an honest measure of whether you actually solved a problem — can be trusted. Both should be fixed before anything else.</w:t>
      </w:r>
    </w:p>
    <w:p>
      <w:pPr>
        <w:spacing w:after="40" w:before="240"/>
      </w:pPr>
      <w:r>
        <w:rPr>
          <w:rFonts w:ascii="Arial" w:cs="Arial" w:eastAsia="Arial" w:hAnsi="Arial"/>
          <w:b/>
          <w:bCs/>
          <w:color w:val="FFFFFF"/>
          <w:sz w:val="17"/>
          <w:szCs w:val="17"/>
          <w:shd w:fill="B00020" w:val="clear"/>
        </w:rPr>
        <w:t xml:space="preserve">  CRITICAL — Grading Integrity  </w:t>
      </w:r>
    </w:p>
    <w:p>
      <w:pPr>
        <w:spacing w:after="100"/>
      </w:pPr>
      <w:r>
        <w:rPr>
          <w:rFonts w:ascii="Arial" w:cs="Arial" w:eastAsia="Arial" w:hAnsi="Arial"/>
          <w:b/>
          <w:bCs/>
          <w:color w:val="1A1A1A"/>
          <w:sz w:val="24"/>
          <w:szCs w:val="24"/>
        </w:rPr>
        <w:t xml:space="preserve">1. Users can forge an “Accepted” verdict without solving the problem</w:t>
      </w:r>
    </w:p>
    <w:p>
      <w:pPr>
        <w:spacing w:after="100" w:before="0"/>
      </w:pPr>
      <w:r>
        <w:rPr>
          <w:rFonts w:ascii="Arial" w:cs="Arial" w:eastAsia="Arial" w:hAnsi="Arial"/>
          <w:b w:val="false"/>
          <w:bCs w:val="false"/>
          <w:i w:val="false"/>
          <w:iCs w:val="false"/>
          <w:color w:val="1A1A1A"/>
          <w:sz w:val="21"/>
          <w:szCs w:val="21"/>
        </w:rPr>
        <w:t xml:space="preserve">The code-runner builds one Python file that pastes the user's submitted code directly above its own grading loop (code-runner/executor.py, _build_test_harness), then executes that single file as one process. Because the user's code runs first and shares the same stdout and process lifetime as the harness, a submission can print a fake result line and exit before the real grading loop ever runs:</w:t>
      </w:r>
    </w:p>
    <w:p>
      <w:pPr>
        <w:spacing w:after="100" w:before="0"/>
      </w:pPr>
      <w:r>
        <w:rPr>
          <w:rFonts w:ascii="Arial" w:cs="Arial" w:eastAsia="Arial" w:hAnsi="Arial"/>
          <w:b w:val="false"/>
          <w:bCs w:val="false"/>
          <w:i w:val="false"/>
          <w:iCs w:val="false"/>
          <w:color w:val="1A1A1A"/>
          <w:sz w:val="21"/>
          <w:szCs w:val="21"/>
        </w:rPr>
        <w:t xml:space="preserve">def solve(nums): return nums
print('__RESULTS__:[{"test_case":1,"passed":true,"actual":"x"}]')
import sys; sys.exit(0)</w:t>
      </w:r>
    </w:p>
    <w:p>
      <w:pPr>
        <w:spacing w:after="100" w:before="0"/>
      </w:pPr>
      <w:r>
        <w:rPr>
          <w:rFonts w:ascii="Arial" w:cs="Arial" w:eastAsia="Arial" w:hAnsi="Arial"/>
          <w:b w:val="false"/>
          <w:bCs w:val="false"/>
          <w:i w:val="false"/>
          <w:iCs w:val="false"/>
          <w:color w:val="1A1A1A"/>
          <w:sz w:val="21"/>
          <w:szCs w:val="21"/>
        </w:rPr>
        <w:t xml:space="preserve">executor.py parses stdout for any line starting with “__RESULTS__:” and keeps the last match, then sets is_correct = all(passed). A forged line followed by sys.exit(0) skips the harness's real test loop entirely, so the forged “passed: true” result is what gets returned, logged as a passing attempt, and used to mark the problem solved and unlock “Next problem.”</w:t>
      </w:r>
    </w:p>
    <w:p>
      <w:pPr>
        <w:spacing w:after="260" w:before="0"/>
      </w:pPr>
      <w:r>
        <w:rPr>
          <w:rFonts w:ascii="Arial" w:cs="Arial" w:eastAsia="Arial" w:hAnsi="Arial"/>
          <w:b/>
          <w:bCs/>
          <w:color w:val="B00020"/>
          <w:sz w:val="21"/>
          <w:szCs w:val="21"/>
        </w:rPr>
        <w:t xml:space="preserve">Recommended fix: </w:t>
      </w:r>
      <w:r>
        <w:rPr>
          <w:rFonts w:ascii="Arial" w:cs="Arial" w:eastAsia="Arial" w:hAnsi="Arial"/>
          <w:color w:val="1A1A1A"/>
          <w:sz w:val="21"/>
          <w:szCs w:val="21"/>
        </w:rPr>
        <w:t xml:space="preserve">Never let user code share a process or stdout stream with the grading logic. Run the user's function in a restricted sub-scope (or a separate subprocess) and have the harness collect the return value directly via IPC/exit code rather than by scanning combined stdout for a magic string the user's own code can also print. At minimum, catch SystemExit around the user-code section so the grading loop still runs even if the submission calls sys.exit(), and strip/ignore any “__RESULTS__:” line that appears before the harness's own marker is written.</w:t>
      </w:r>
    </w:p>
    <w:p>
      <w:pPr>
        <w:spacing w:after="40" w:before="240"/>
      </w:pPr>
      <w:r>
        <w:rPr>
          <w:rFonts w:ascii="Arial" w:cs="Arial" w:eastAsia="Arial" w:hAnsi="Arial"/>
          <w:b/>
          <w:bCs/>
          <w:color w:val="FFFFFF"/>
          <w:sz w:val="17"/>
          <w:szCs w:val="17"/>
          <w:shd w:fill="B00020" w:val="clear"/>
        </w:rPr>
        <w:t xml:space="preserve">  CRITICAL — Grading Integrity  </w:t>
      </w:r>
    </w:p>
    <w:p>
      <w:pPr>
        <w:spacing w:after="100"/>
      </w:pPr>
      <w:r>
        <w:rPr>
          <w:rFonts w:ascii="Arial" w:cs="Arial" w:eastAsia="Arial" w:hAnsi="Arial"/>
          <w:b/>
          <w:bCs/>
          <w:color w:val="1A1A1A"/>
          <w:sz w:val="24"/>
          <w:szCs w:val="24"/>
        </w:rPr>
        <w:t xml:space="preserve">2. All test cases — including “hidden” ones — are sent to the browser before the user runs any code</w:t>
      </w:r>
    </w:p>
    <w:p>
      <w:pPr>
        <w:spacing w:after="100" w:before="0"/>
      </w:pPr>
      <w:r>
        <w:rPr>
          <w:rFonts w:ascii="Arial" w:cs="Arial" w:eastAsia="Arial" w:hAnsi="Arial"/>
          <w:b w:val="false"/>
          <w:bCs w:val="false"/>
          <w:i w:val="false"/>
          <w:iCs w:val="false"/>
          <w:color w:val="1A1A1A"/>
          <w:sz w:val="21"/>
          <w:szCs w:val="21"/>
        </w:rPr>
        <w:t xml:space="preserve">ProblemOut (backend/app/schemas/problem.py) includes the full test_cases list, expected outputs included, and GET /problems/{id} returns it to any authenticated user the moment a problem page loads. The frontend's TestCasePanel and the Examples section (ProblemPage.jsx) then render every test case whose expected_output is non-empty — not just the first three used for “Run.”</w:t>
      </w:r>
    </w:p>
    <w:p>
      <w:pPr>
        <w:spacing w:after="100" w:before="0"/>
      </w:pPr>
      <w:r>
        <w:rPr>
          <w:rFonts w:ascii="Arial" w:cs="Arial" w:eastAsia="Arial" w:hAnsi="Arial"/>
          <w:b w:val="false"/>
          <w:bCs w:val="false"/>
          <w:i w:val="false"/>
          <w:iCs w:val="false"/>
          <w:color w:val="1A1A1A"/>
          <w:sz w:val="21"/>
          <w:szCs w:val="21"/>
        </w:rPr>
        <w:t xml:space="preserve">The backend's own /attempts/run route treats mode="run" vs "submit" as a meaningful distinction (first 3 cases vs. all cases), but that distinction is cosmetic: a user can simply read every expected output straight off the problem page before writing a line of code. This undercuts the core “write code, run it, iterate” learning loop the product is built around.</w:t>
      </w:r>
    </w:p>
    <w:p>
      <w:pPr>
        <w:spacing w:after="260" w:before="0"/>
      </w:pPr>
      <w:r>
        <w:rPr>
          <w:rFonts w:ascii="Arial" w:cs="Arial" w:eastAsia="Arial" w:hAnsi="Arial"/>
          <w:b/>
          <w:bCs/>
          <w:color w:val="B00020"/>
          <w:sz w:val="21"/>
          <w:szCs w:val="21"/>
        </w:rPr>
        <w:t xml:space="preserve">Recommended fix: </w:t>
      </w:r>
      <w:r>
        <w:rPr>
          <w:rFonts w:ascii="Arial" w:cs="Arial" w:eastAsia="Arial" w:hAnsi="Arial"/>
          <w:color w:val="1A1A1A"/>
          <w:sz w:val="21"/>
          <w:szCs w:val="21"/>
        </w:rPr>
        <w:t xml:space="preserve">Split the API contract: return only public/example test cases (with expected outputs) in ProblemOut, and keep the rest of the test suite server-side only, referenced by ID and evaluated inside the code-runner. Only send back pass/fail plus the input and actual output for hidden cases (never the expected value) unless the submission failed and you want to show a diff for the visible subset.</w:t>
      </w:r>
    </w:p>
    <w:p>
      <w:r>
        <w:br w:type="page"/>
      </w:r>
    </w:p>
    <w:p>
      <w:pPr>
        <w:pStyle w:val="Heading1"/>
      </w:pPr>
      <w:r>
        <w:rPr>
          <w:rFonts w:ascii="Arial" w:cs="Arial" w:eastAsia="Arial" w:hAnsi="Arial"/>
        </w:rPr>
        <w:t xml:space="preserve">High Findings</w:t>
      </w:r>
    </w:p>
    <w:p>
      <w:pPr>
        <w:spacing w:after="160" w:before="0"/>
      </w:pPr>
      <w:r>
        <w:rPr>
          <w:rFonts w:ascii="Arial" w:cs="Arial" w:eastAsia="Arial" w:hAnsi="Arial"/>
          <w:b w:val="false"/>
          <w:bCs w:val="false"/>
          <w:i w:val="false"/>
          <w:iCs w:val="false"/>
          <w:color w:val="1A1A1A"/>
          <w:sz w:val="21"/>
          <w:szCs w:val="21"/>
        </w:rPr>
        <w:t xml:space="preserve">Findings in this band affect security posture, cost exposure, data trustworthiness, or make substantial parts of the app unusable in common situations (e.g. non-desktop viewports).</w:t>
      </w:r>
    </w:p>
    <w:p>
      <w:pPr>
        <w:spacing w:after="40" w:before="240"/>
      </w:pPr>
      <w:r>
        <w:rPr>
          <w:rFonts w:ascii="Arial" w:cs="Arial" w:eastAsia="Arial" w:hAnsi="Arial"/>
          <w:b/>
          <w:bCs/>
          <w:color w:val="FFFFFF"/>
          <w:sz w:val="17"/>
          <w:szCs w:val="17"/>
          <w:shd w:fill="C0530A" w:val="clear"/>
        </w:rPr>
        <w:t xml:space="preserve">  HIGH — Access Control  </w:t>
      </w:r>
    </w:p>
    <w:p>
      <w:pPr>
        <w:spacing w:after="100"/>
      </w:pPr>
      <w:r>
        <w:rPr>
          <w:rFonts w:ascii="Arial" w:cs="Arial" w:eastAsia="Arial" w:hAnsi="Arial"/>
          <w:b/>
          <w:bCs/>
          <w:color w:val="1A1A1A"/>
          <w:sz w:val="24"/>
          <w:szCs w:val="24"/>
        </w:rPr>
        <w:t xml:space="preserve">3. The OpenAI API key is a single global setting any signed-up user can read, replace, or delete</w:t>
      </w:r>
    </w:p>
    <w:p>
      <w:pPr>
        <w:spacing w:after="100" w:before="0"/>
      </w:pPr>
      <w:r>
        <w:rPr>
          <w:rFonts w:ascii="Arial" w:cs="Arial" w:eastAsia="Arial" w:hAnsi="Arial"/>
          <w:b w:val="false"/>
          <w:bCs w:val="false"/>
          <w:i w:val="false"/>
          <w:iCs w:val="false"/>
          <w:color w:val="1A1A1A"/>
          <w:sz w:val="21"/>
          <w:szCs w:val="21"/>
        </w:rPr>
        <w:t xml:space="preserve">backend/app/api/settings.py exposes GET/POST/DELETE /settings/openai-key behind get_current_user only — there is no require_admin dependency, unlike every route in admin.py. The key itself is stored as one row in app_settings and loaded into a single process-global settings.OPENAI_API_KEY (backend/app/config.py, app/main.py). In multi-user mode (the app explicitly supports registration beyond the first admin account), any second user who signs up can see whether a key is configured, overwrite it with their own, or delete it — instantly disabling AI coaching for every other user, including the admin who is presumably paying for the key.</w:t>
      </w:r>
    </w:p>
    <w:p>
      <w:pPr>
        <w:spacing w:after="260" w:before="0"/>
      </w:pPr>
      <w:r>
        <w:rPr>
          <w:rFonts w:ascii="Arial" w:cs="Arial" w:eastAsia="Arial" w:hAnsi="Arial"/>
          <w:b/>
          <w:bCs/>
          <w:color w:val="C0530A"/>
          <w:sz w:val="21"/>
          <w:szCs w:val="21"/>
        </w:rPr>
        <w:t xml:space="preserve">Recommended fix: </w:t>
      </w:r>
      <w:r>
        <w:rPr>
          <w:rFonts w:ascii="Arial" w:cs="Arial" w:eastAsia="Arial" w:hAnsi="Arial"/>
          <w:color w:val="1A1A1A"/>
          <w:sz w:val="21"/>
          <w:szCs w:val="21"/>
        </w:rPr>
        <w:t xml:space="preserve">Gate all three /settings/openai-key endpoints behind require_admin, and make this explicit in the Settings page UI (“this key is shared across everyone on this instance”). If per-user keys are wanted instead, key the app_settings row (or a new table) by user_id rather than a single fixed key name.</w:t>
      </w:r>
    </w:p>
    <w:p>
      <w:pPr>
        <w:spacing w:after="40" w:before="240"/>
      </w:pPr>
      <w:r>
        <w:rPr>
          <w:rFonts w:ascii="Arial" w:cs="Arial" w:eastAsia="Arial" w:hAnsi="Arial"/>
          <w:b/>
          <w:bCs/>
          <w:color w:val="FFFFFF"/>
          <w:sz w:val="17"/>
          <w:szCs w:val="17"/>
          <w:shd w:fill="C0530A" w:val="clear"/>
        </w:rPr>
        <w:t xml:space="preserve">  HIGH — Cost / Abuse Control  </w:t>
      </w:r>
    </w:p>
    <w:p>
      <w:pPr>
        <w:spacing w:after="100"/>
      </w:pPr>
      <w:r>
        <w:rPr>
          <w:rFonts w:ascii="Arial" w:cs="Arial" w:eastAsia="Arial" w:hAnsi="Arial"/>
          <w:b/>
          <w:bCs/>
          <w:color w:val="1A1A1A"/>
          <w:sz w:val="24"/>
          <w:szCs w:val="24"/>
        </w:rPr>
        <w:t xml:space="preserve">4. No rate limiting on AI Coach endpoints — unbounded GPT-4o spend</w:t>
      </w:r>
    </w:p>
    <w:p>
      <w:pPr>
        <w:spacing w:after="100" w:before="0"/>
      </w:pPr>
      <w:r>
        <w:rPr>
          <w:rFonts w:ascii="Arial" w:cs="Arial" w:eastAsia="Arial" w:hAnsi="Arial"/>
          <w:b w:val="false"/>
          <w:bCs w:val="false"/>
          <w:i w:val="false"/>
          <w:iCs w:val="false"/>
          <w:color w:val="1A1A1A"/>
          <w:sz w:val="21"/>
          <w:szCs w:val="21"/>
        </w:rPr>
        <w:t xml:space="preserve">slowapi rate limits are only applied to /auth/register (5/min) and /auth/login (10/min). /ai/insight — which triggers a real, billed GPT-4o chat completion (backend/app/ai/client.py, max_tokens=1000) — has no limiter at all. Any authenticated user can script repeated calls to /ai/insight (hints, mistake explanations, code review, weekly reports, chat) with no throttle, running up the shared OpenAI bill referenced in the previous finding.</w:t>
      </w:r>
    </w:p>
    <w:p>
      <w:pPr>
        <w:spacing w:after="260" w:before="0"/>
      </w:pPr>
      <w:r>
        <w:rPr>
          <w:rFonts w:ascii="Arial" w:cs="Arial" w:eastAsia="Arial" w:hAnsi="Arial"/>
          <w:b/>
          <w:bCs/>
          <w:color w:val="C0530A"/>
          <w:sz w:val="21"/>
          <w:szCs w:val="21"/>
        </w:rPr>
        <w:t xml:space="preserve">Recommended fix: </w:t>
      </w:r>
      <w:r>
        <w:rPr>
          <w:rFonts w:ascii="Arial" w:cs="Arial" w:eastAsia="Arial" w:hAnsi="Arial"/>
          <w:color w:val="1A1A1A"/>
          <w:sz w:val="21"/>
          <w:szCs w:val="21"/>
        </w:rPr>
        <w:t xml:space="preserve">Add a per-user slowapi limit to /ai/insight (e.g. 20/hour) and consider a simple daily token budget stored per user, surfaced in Settings so the admin can see usage.</w:t>
      </w:r>
    </w:p>
    <w:p>
      <w:pPr>
        <w:spacing w:after="40" w:before="240"/>
      </w:pPr>
      <w:r>
        <w:rPr>
          <w:rFonts w:ascii="Arial" w:cs="Arial" w:eastAsia="Arial" w:hAnsi="Arial"/>
          <w:b/>
          <w:bCs/>
          <w:color w:val="FFFFFF"/>
          <w:sz w:val="17"/>
          <w:szCs w:val="17"/>
          <w:shd w:fill="C0530A" w:val="clear"/>
        </w:rPr>
        <w:t xml:space="preserve">  HIGH — Error Handling / Analytics Integrity  </w:t>
      </w:r>
    </w:p>
    <w:p>
      <w:pPr>
        <w:spacing w:after="100"/>
      </w:pPr>
      <w:r>
        <w:rPr>
          <w:rFonts w:ascii="Arial" w:cs="Arial" w:eastAsia="Arial" w:hAnsi="Arial"/>
          <w:b/>
          <w:bCs/>
          <w:color w:val="1A1A1A"/>
          <w:sz w:val="24"/>
          <w:szCs w:val="24"/>
        </w:rPr>
        <w:t xml:space="preserve">5. Code-runner outages are silently recorded as the user's own wrong answers</w:t>
      </w:r>
    </w:p>
    <w:p>
      <w:pPr>
        <w:spacing w:after="100" w:before="0"/>
      </w:pPr>
      <w:r>
        <w:rPr>
          <w:rFonts w:ascii="Arial" w:cs="Arial" w:eastAsia="Arial" w:hAnsi="Arial"/>
          <w:b w:val="false"/>
          <w:bCs w:val="false"/>
          <w:i w:val="false"/>
          <w:iCs w:val="false"/>
          <w:color w:val="1A1A1A"/>
          <w:sz w:val="21"/>
          <w:szCs w:val="21"/>
        </w:rPr>
        <w:t xml:space="preserve">In backend/app/api/attempts.py, run_code wraps the call to the code-runner in a bare try/except that, on any failure (connection refused, timeout, DNS), fabricates a result: {"is_correct": false, "stderr": str(e), ...}. That fabricated result is then persisted as a real ProblemAttempt and, since is_correct is false and stderr is non-empty, also logged as an ErrorPattern — permanently polluting the “error type” analytics and struggle-index/mastery calculations with infrastructure noise. On the frontend, ProblemPage renders this exactly like a real wrong-answer verdict (VerdictScreen shows “Wrong Answer” with the raw exception text where a stack trace would normally go), giving the user no way to tell a real bug in their code from a backend outage.</w:t>
      </w:r>
    </w:p>
    <w:p>
      <w:pPr>
        <w:spacing w:after="260" w:before="0"/>
      </w:pPr>
      <w:r>
        <w:rPr>
          <w:rFonts w:ascii="Arial" w:cs="Arial" w:eastAsia="Arial" w:hAnsi="Arial"/>
          <w:b/>
          <w:bCs/>
          <w:color w:val="C0530A"/>
          <w:sz w:val="21"/>
          <w:szCs w:val="21"/>
        </w:rPr>
        <w:t xml:space="preserve">Recommended fix: </w:t>
      </w:r>
      <w:r>
        <w:rPr>
          <w:rFonts w:ascii="Arial" w:cs="Arial" w:eastAsia="Arial" w:hAnsi="Arial"/>
          <w:color w:val="1A1A1A"/>
          <w:sz w:val="21"/>
          <w:szCs w:val="21"/>
        </w:rPr>
        <w:t xml:space="preserve">Distinguish infrastructure failures from grading failures at the schema level (e.g. a status: "service_error" field), skip writing an attempt/error-pattern row when the code-runner itself is unreachable, and show a distinct “couldn't reach the code runner — try again” state in the UI instead of a fake Wrong Answer screen.</w:t>
      </w:r>
    </w:p>
    <w:p>
      <w:pPr>
        <w:spacing w:after="40" w:before="240"/>
      </w:pPr>
      <w:r>
        <w:rPr>
          <w:rFonts w:ascii="Arial" w:cs="Arial" w:eastAsia="Arial" w:hAnsi="Arial"/>
          <w:b/>
          <w:bCs/>
          <w:color w:val="FFFFFF"/>
          <w:sz w:val="17"/>
          <w:szCs w:val="17"/>
          <w:shd w:fill="C0530A" w:val="clear"/>
        </w:rPr>
        <w:t xml:space="preserve">  HIGH — Error Handling / UX Trust  </w:t>
      </w:r>
    </w:p>
    <w:p>
      <w:pPr>
        <w:spacing w:after="100"/>
      </w:pPr>
      <w:r>
        <w:rPr>
          <w:rFonts w:ascii="Arial" w:cs="Arial" w:eastAsia="Arial" w:hAnsi="Arial"/>
          <w:b/>
          <w:bCs/>
          <w:color w:val="1A1A1A"/>
          <w:sz w:val="24"/>
          <w:szCs w:val="24"/>
        </w:rPr>
        <w:t xml:space="preserve">6. Failed AI calls are returned as HTTP 200 and rendered identically to real coaching content</w:t>
      </w:r>
    </w:p>
    <w:p>
      <w:pPr>
        <w:spacing w:after="100" w:before="0"/>
      </w:pPr>
      <w:r>
        <w:rPr>
          <w:rFonts w:ascii="Arial" w:cs="Arial" w:eastAsia="Arial" w:hAnsi="Arial"/>
          <w:b w:val="false"/>
          <w:bCs w:val="false"/>
          <w:i w:val="false"/>
          <w:iCs w:val="false"/>
          <w:color w:val="1A1A1A"/>
          <w:sz w:val="21"/>
          <w:szCs w:val="21"/>
        </w:rPr>
        <w:t xml:space="preserve">get_ai_response (backend/app/ai/client.py) catches all exceptions from the OpenAI call and returns {"content": f"AI error: {str(e)}", ...} with a 200 status. On the frontend, only the specific “not configured” message (prefixed with ⚠️) is special-cased as a warning Alert (AIInsightsPanel.jsx); every other failure — invalid key, rate limit, network error — is dropped into the same Typography block used for genuine AI responses in AIInsightsPanel, ProblemPage's AI Hints panel, and the post-submit “Why did I fail? / Review my code” panel. A user has no reliable way to tell a real answer from a raw exception message.</w:t>
      </w:r>
    </w:p>
    <w:p>
      <w:pPr>
        <w:spacing w:after="260" w:before="0"/>
      </w:pPr>
      <w:r>
        <w:rPr>
          <w:rFonts w:ascii="Arial" w:cs="Arial" w:eastAsia="Arial" w:hAnsi="Arial"/>
          <w:b/>
          <w:bCs/>
          <w:color w:val="C0530A"/>
          <w:sz w:val="21"/>
          <w:szCs w:val="21"/>
        </w:rPr>
        <w:t xml:space="preserve">Recommended fix: </w:t>
      </w:r>
      <w:r>
        <w:rPr>
          <w:rFonts w:ascii="Arial" w:cs="Arial" w:eastAsia="Arial" w:hAnsi="Arial"/>
          <w:color w:val="1A1A1A"/>
          <w:sz w:val="21"/>
          <w:szCs w:val="21"/>
        </w:rPr>
        <w:t xml:space="preserve">Return a structured error (non-200 status or an explicit ok: false field) from /ai/insight on failure, and render errors in the frontend with distinct styling (Alert severity="error", a retry button) rather than reusing the success-content template.</w:t>
      </w:r>
    </w:p>
    <w:p>
      <w:pPr>
        <w:spacing w:after="40" w:before="240"/>
      </w:pPr>
      <w:r>
        <w:rPr>
          <w:rFonts w:ascii="Arial" w:cs="Arial" w:eastAsia="Arial" w:hAnsi="Arial"/>
          <w:b/>
          <w:bCs/>
          <w:color w:val="FFFFFF"/>
          <w:sz w:val="17"/>
          <w:szCs w:val="17"/>
          <w:shd w:fill="C0530A" w:val="clear"/>
        </w:rPr>
        <w:t xml:space="preserve">  HIGH — Architecture / Schema Management  </w:t>
      </w:r>
    </w:p>
    <w:p>
      <w:pPr>
        <w:spacing w:after="100"/>
      </w:pPr>
      <w:r>
        <w:rPr>
          <w:rFonts w:ascii="Arial" w:cs="Arial" w:eastAsia="Arial" w:hAnsi="Arial"/>
          <w:b/>
          <w:bCs/>
          <w:color w:val="1A1A1A"/>
          <w:sz w:val="24"/>
          <w:szCs w:val="24"/>
        </w:rPr>
        <w:t xml:space="preserve">7. Three overlapping, drifting database-migration mechanisms</w:t>
      </w:r>
    </w:p>
    <w:p>
      <w:pPr>
        <w:spacing w:after="100" w:before="0"/>
      </w:pPr>
      <w:r>
        <w:rPr>
          <w:rFonts w:ascii="Arial" w:cs="Arial" w:eastAsia="Arial" w:hAnsi="Arial"/>
          <w:b w:val="false"/>
          <w:bCs w:val="false"/>
          <w:i w:val="false"/>
          <w:iCs w:val="false"/>
          <w:color w:val="1A1A1A"/>
          <w:sz w:val="21"/>
          <w:szCs w:val="21"/>
        </w:rPr>
        <w:t xml:space="preserve">Schema changes are applied through three separate paths that are not kept in sync: (1) db/init.sql, run only on a brand-new Postgres volume; (2) a single Alembic migration (backend/alembic/versions/001_initial_column_migrations.py) whose own docstring says it "replaces inline ALTER TABLE in lifespan"; and (3) that exact inline ALTER TABLE / CREATE TABLE IF NOT EXISTS logic, still present and still running on every single app startup inside backend/app/main.py's lifespan handler — including a raw SQL DO $$ block. The interview-readiness tables (self_assessments, review_schedule, mistake_log, contest_log, ds_fluency) exist only in the main.py inline path — they are in neither init.sql nor the Alembic migration — so a fresh checkout of just those two "official" sources would not produce a working schema.</w:t>
      </w:r>
    </w:p>
    <w:p>
      <w:pPr>
        <w:spacing w:after="260" w:before="0"/>
      </w:pPr>
      <w:r>
        <w:rPr>
          <w:rFonts w:ascii="Arial" w:cs="Arial" w:eastAsia="Arial" w:hAnsi="Arial"/>
          <w:b/>
          <w:bCs/>
          <w:color w:val="C0530A"/>
          <w:sz w:val="21"/>
          <w:szCs w:val="21"/>
        </w:rPr>
        <w:t xml:space="preserve">Recommended fix: </w:t>
      </w:r>
      <w:r>
        <w:rPr>
          <w:rFonts w:ascii="Arial" w:cs="Arial" w:eastAsia="Arial" w:hAnsi="Arial"/>
          <w:color w:val="1A1A1A"/>
          <w:sz w:val="21"/>
          <w:szCs w:val="21"/>
        </w:rPr>
        <w:t xml:space="preserve">Pick one mechanism (Alembic) as the single source of truth, port the interview-module tables and the sentinel-UUID backfill into proper migrations, delete the inline DDL block from main.py's lifespan, and keep init.sql only as the one-time bootstrap that a fresh Alembic head could equally produce.</w:t>
      </w:r>
    </w:p>
    <w:p>
      <w:pPr>
        <w:spacing w:after="40" w:before="240"/>
      </w:pPr>
      <w:r>
        <w:rPr>
          <w:rFonts w:ascii="Arial" w:cs="Arial" w:eastAsia="Arial" w:hAnsi="Arial"/>
          <w:b/>
          <w:bCs/>
          <w:color w:val="FFFFFF"/>
          <w:sz w:val="17"/>
          <w:szCs w:val="17"/>
          <w:shd w:fill="C0530A" w:val="clear"/>
        </w:rPr>
        <w:t xml:space="preserve">  HIGH — UI/UX — Responsiveness  </w:t>
      </w:r>
    </w:p>
    <w:p>
      <w:pPr>
        <w:spacing w:after="100"/>
      </w:pPr>
      <w:r>
        <w:rPr>
          <w:rFonts w:ascii="Arial" w:cs="Arial" w:eastAsia="Arial" w:hAnsi="Arial"/>
          <w:b/>
          <w:bCs/>
          <w:color w:val="1A1A1A"/>
          <w:sz w:val="24"/>
          <w:szCs w:val="24"/>
        </w:rPr>
        <w:t xml:space="preserve">8. No responsive layout — the app is effectively unusable below desktop widths</w:t>
      </w:r>
    </w:p>
    <w:p>
      <w:pPr>
        <w:spacing w:after="100" w:before="0"/>
      </w:pPr>
      <w:r>
        <w:rPr>
          <w:rFonts w:ascii="Arial" w:cs="Arial" w:eastAsia="Arial" w:hAnsi="Arial"/>
          <w:b w:val="false"/>
          <w:bCs w:val="false"/>
          <w:i w:val="false"/>
          <w:iCs w:val="false"/>
          <w:color w:val="1A1A1A"/>
          <w:sz w:val="21"/>
          <w:szCs w:val="21"/>
        </w:rPr>
        <w:t xml:space="preserve">Layout.jsx renders a fixed variant="permanent" MUI Drawer at a hardcoded 220px with no breakpoint logic (no useMediaQuery, no temporary/mobile variant). ProblemPage additionally hardcodes height: '100vh' and a fixed 42%/58% description/editor split with no responsive fallback. On any viewport narrower than a typical laptop — a tablet, a phone, or even a modestly sized browser window — the sidebar cannot collapse and the code editor split becomes cramped or unusable, with no hamburger menu or alternate mobile layout anywhere in the app.</w:t>
      </w:r>
    </w:p>
    <w:p>
      <w:pPr>
        <w:spacing w:after="260" w:before="0"/>
      </w:pPr>
      <w:r>
        <w:rPr>
          <w:rFonts w:ascii="Arial" w:cs="Arial" w:eastAsia="Arial" w:hAnsi="Arial"/>
          <w:b/>
          <w:bCs/>
          <w:color w:val="C0530A"/>
          <w:sz w:val="21"/>
          <w:szCs w:val="21"/>
        </w:rPr>
        <w:t xml:space="preserve">Recommended fix: </w:t>
      </w:r>
      <w:r>
        <w:rPr>
          <w:rFonts w:ascii="Arial" w:cs="Arial" w:eastAsia="Arial" w:hAnsi="Arial"/>
          <w:color w:val="1A1A1A"/>
          <w:sz w:val="21"/>
          <w:szCs w:val="21"/>
        </w:rPr>
        <w:t xml:space="preserve">Convert the Drawer to MUI's responsive pattern (temporary variant + toggle below the md breakpoint, permanent above it), and let ProblemPage's split pane stack vertically (description above, editor below) on narrow viewports.</w:t>
      </w:r>
    </w:p>
    <w:p>
      <w:pPr>
        <w:spacing w:after="40" w:before="240"/>
      </w:pPr>
      <w:r>
        <w:rPr>
          <w:rFonts w:ascii="Arial" w:cs="Arial" w:eastAsia="Arial" w:hAnsi="Arial"/>
          <w:b/>
          <w:bCs/>
          <w:color w:val="FFFFFF"/>
          <w:sz w:val="17"/>
          <w:szCs w:val="17"/>
          <w:shd w:fill="C0530A" w:val="clear"/>
        </w:rPr>
        <w:t xml:space="preserve">  HIGH — Infrastructure / Secrets  </w:t>
      </w:r>
    </w:p>
    <w:p>
      <w:pPr>
        <w:spacing w:after="100"/>
      </w:pPr>
      <w:r>
        <w:rPr>
          <w:rFonts w:ascii="Arial" w:cs="Arial" w:eastAsia="Arial" w:hAnsi="Arial"/>
          <w:b/>
          <w:bCs/>
          <w:color w:val="1A1A1A"/>
          <w:sz w:val="24"/>
          <w:szCs w:val="24"/>
        </w:rPr>
        <w:t xml:space="preserve">9. Postgres is published on the host network with the documented default password</w:t>
      </w:r>
    </w:p>
    <w:p>
      <w:pPr>
        <w:spacing w:after="100" w:before="0"/>
      </w:pPr>
      <w:r>
        <w:rPr>
          <w:rFonts w:ascii="Arial" w:cs="Arial" w:eastAsia="Arial" w:hAnsi="Arial"/>
          <w:b w:val="false"/>
          <w:bCs w:val="false"/>
          <w:i w:val="false"/>
          <w:iCs w:val="false"/>
          <w:color w:val="1A1A1A"/>
          <w:sz w:val="21"/>
          <w:szCs w:val="21"/>
        </w:rPr>
        <w:t xml:space="preserve">docker-compose.yml maps ports: ["5432:5432"] for the db service, exposing PostgreSQL directly on the host's network interfaces — not just to the other containers on the internal algomaster network, which is all the backend actually needs. The currently-configured .env for this project still uses POSTGRES_PASSWORD=algomaster_secret, which is also the literal default shown in .env.example and the README. Anyone who can reach the host's network (LAN, or the public internet if this is deployed on a VPS without a firewall) can attempt to connect directly to the database with a widely-published default password.</w:t>
      </w:r>
    </w:p>
    <w:p>
      <w:pPr>
        <w:spacing w:after="260" w:before="0"/>
      </w:pPr>
      <w:r>
        <w:rPr>
          <w:rFonts w:ascii="Arial" w:cs="Arial" w:eastAsia="Arial" w:hAnsi="Arial"/>
          <w:b/>
          <w:bCs/>
          <w:color w:val="C0530A"/>
          <w:sz w:val="21"/>
          <w:szCs w:val="21"/>
        </w:rPr>
        <w:t xml:space="preserve">Recommended fix: </w:t>
      </w:r>
      <w:r>
        <w:rPr>
          <w:rFonts w:ascii="Arial" w:cs="Arial" w:eastAsia="Arial" w:hAnsi="Arial"/>
          <w:color w:val="1A1A1A"/>
          <w:sz w:val="21"/>
          <w:szCs w:val="21"/>
        </w:rPr>
        <w:t xml:space="preserve">Remove the ports: mapping for db entirely (the backend reaches it via the internal Docker network by service name already) or bind it to 127.0.0.1:5432:5432 if host-side psql access is genuinely needed. Generate a random POSTGRES_PASSWORD per install the same way SECRET_KEY already is, and have config.py refuse to boot on the placeholder value the same way it already does for SECRET_KEY.</w:t>
      </w:r>
    </w:p>
    <w:p>
      <w:r>
        <w:br w:type="page"/>
      </w:r>
    </w:p>
    <w:p>
      <w:pPr>
        <w:pStyle w:val="Heading1"/>
      </w:pPr>
      <w:r>
        <w:rPr>
          <w:rFonts w:ascii="Arial" w:cs="Arial" w:eastAsia="Arial" w:hAnsi="Arial"/>
        </w:rPr>
        <w:t xml:space="preserve">Medium Findings</w:t>
      </w:r>
    </w:p>
    <w:p>
      <w:pPr>
        <w:spacing w:after="160" w:before="0"/>
      </w:pPr>
      <w:r>
        <w:rPr>
          <w:rFonts w:ascii="Arial" w:cs="Arial" w:eastAsia="Arial" w:hAnsi="Arial"/>
          <w:b w:val="false"/>
          <w:bCs w:val="false"/>
          <w:i w:val="false"/>
          <w:iCs w:val="false"/>
          <w:color w:val="1A1A1A"/>
          <w:sz w:val="21"/>
          <w:szCs w:val="21"/>
        </w:rPr>
        <w:t xml:space="preserve">Real, verifiable bugs and gaps with a narrower blast radius than the items above — worth a dedicated pass but not launch-blocking on their own.</w:t>
      </w:r>
    </w:p>
    <w:p>
      <w:pPr>
        <w:spacing w:after="40" w:before="240"/>
      </w:pPr>
      <w:r>
        <w:rPr>
          <w:rFonts w:ascii="Arial" w:cs="Arial" w:eastAsia="Arial" w:hAnsi="Arial"/>
          <w:b/>
          <w:bCs/>
          <w:color w:val="FFFFFF"/>
          <w:sz w:val="17"/>
          <w:szCs w:val="17"/>
          <w:shd w:fill="9A7B0A" w:val="clear"/>
        </w:rPr>
        <w:t xml:space="preserve">  MEDIUM — Auth  </w:t>
      </w:r>
    </w:p>
    <w:p>
      <w:pPr>
        <w:spacing w:after="100"/>
      </w:pPr>
      <w:r>
        <w:rPr>
          <w:rFonts w:ascii="Arial" w:cs="Arial" w:eastAsia="Arial" w:hAnsi="Arial"/>
          <w:b/>
          <w:bCs/>
          <w:color w:val="1A1A1A"/>
          <w:sz w:val="24"/>
          <w:szCs w:val="24"/>
        </w:rPr>
        <w:t xml:space="preserve">10. First-admin promotion and duplicate-account checks have a race condition</w:t>
      </w:r>
    </w:p>
    <w:p>
      <w:pPr>
        <w:spacing w:after="100" w:before="0"/>
      </w:pPr>
      <w:r>
        <w:rPr>
          <w:rFonts w:ascii="Arial" w:cs="Arial" w:eastAsia="Arial" w:hAnsi="Arial"/>
          <w:b w:val="false"/>
          <w:bCs w:val="false"/>
          <w:i w:val="false"/>
          <w:iCs w:val="false"/>
          <w:color w:val="1A1A1A"/>
          <w:sz w:val="21"/>
          <w:szCs w:val="21"/>
        </w:rPr>
        <w:t xml:space="preserve">POST /auth/register (backend/app/api/auth.py) counts existing users, then — outside any row lock or transaction guard — creates the new user and promotes it to admin if the count was zero. Two concurrent registrations submitted before either commits can both observe count == 0 and both become admin, each independently running _claim_legacy_data. Separately, the pre-insert duplicate email/username check is also a check-then-act race; a genuine collision under concurrent load surfaces as an unhandled IntegrityError (500) rather than the intended 400 “already taken” response, since the insert isn't wrapped in a try/except.</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Wrap the first-user check and insert in a single transaction with SELECT ... FOR UPDATE (or rely on a unique partial index plus catching IntegrityError to demote/merge), and explicitly catch IntegrityError around the insert to return a clean 400.</w:t>
      </w:r>
    </w:p>
    <w:p>
      <w:pPr>
        <w:spacing w:after="40" w:before="240"/>
      </w:pPr>
      <w:r>
        <w:rPr>
          <w:rFonts w:ascii="Arial" w:cs="Arial" w:eastAsia="Arial" w:hAnsi="Arial"/>
          <w:b/>
          <w:bCs/>
          <w:color w:val="FFFFFF"/>
          <w:sz w:val="17"/>
          <w:szCs w:val="17"/>
          <w:shd w:fill="9A7B0A" w:val="clear"/>
        </w:rPr>
        <w:t xml:space="preserve">  MEDIUM — Auth / Validation  </w:t>
      </w:r>
    </w:p>
    <w:p>
      <w:pPr>
        <w:spacing w:after="100"/>
      </w:pPr>
      <w:r>
        <w:rPr>
          <w:rFonts w:ascii="Arial" w:cs="Arial" w:eastAsia="Arial" w:hAnsi="Arial"/>
          <w:b/>
          <w:bCs/>
          <w:color w:val="1A1A1A"/>
          <w:sz w:val="24"/>
          <w:szCs w:val="24"/>
        </w:rPr>
        <w:t xml:space="preserve">11. Password strength check doesn't actually require letters and numbers</w:t>
      </w:r>
    </w:p>
    <w:p>
      <w:pPr>
        <w:spacing w:after="100" w:before="0"/>
      </w:pPr>
      <w:r>
        <w:rPr>
          <w:rFonts w:ascii="Arial" w:cs="Arial" w:eastAsia="Arial" w:hAnsi="Arial"/>
          <w:b w:val="false"/>
          <w:bCs w:val="false"/>
          <w:i w:val="false"/>
          <w:iCs w:val="false"/>
          <w:color w:val="1A1A1A"/>
          <w:sz w:val="21"/>
          <w:szCs w:val="21"/>
        </w:rPr>
        <w:t xml:space="preserve">RegisterRequest's password_strength validator (backend/app/schemas/auth.py) only rejects passwords that are entirely digits or entirely letters: if v.isdigit() or v.isalpha(): raise .... A password made purely of symbols, e.g. "!!!!!!!!", is neither all-digits nor all-letters, so it passes validation — even though it contains no letters or numbers at all, directly contradicting the stated policy (README and the registration form's own helper text both say “letters and numbers required”).</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Check explicitly for at least one letter and one digit, e.g. any(c.isalpha() for c in v) and any(c.isdigit() for c in v).</w:t>
      </w:r>
    </w:p>
    <w:p>
      <w:pPr>
        <w:spacing w:after="40" w:before="240"/>
      </w:pPr>
      <w:r>
        <w:rPr>
          <w:rFonts w:ascii="Arial" w:cs="Arial" w:eastAsia="Arial" w:hAnsi="Arial"/>
          <w:b/>
          <w:bCs/>
          <w:color w:val="FFFFFF"/>
          <w:sz w:val="17"/>
          <w:szCs w:val="17"/>
          <w:shd w:fill="9A7B0A" w:val="clear"/>
        </w:rPr>
        <w:t xml:space="preserve">  MEDIUM — Analytics Correctness  </w:t>
      </w:r>
    </w:p>
    <w:p>
      <w:pPr>
        <w:spacing w:after="100"/>
      </w:pPr>
      <w:r>
        <w:rPr>
          <w:rFonts w:ascii="Arial" w:cs="Arial" w:eastAsia="Arial" w:hAnsi="Arial"/>
          <w:b/>
          <w:bCs/>
          <w:color w:val="1A1A1A"/>
          <w:sz w:val="24"/>
          <w:szCs w:val="24"/>
        </w:rPr>
        <w:t xml:space="preserve">12. Longest solve-streak is undercounted by one day in the common case</w:t>
      </w:r>
    </w:p>
    <w:p>
      <w:pPr>
        <w:spacing w:after="100" w:before="0"/>
      </w:pPr>
      <w:r>
        <w:rPr>
          <w:rFonts w:ascii="Arial" w:cs="Arial" w:eastAsia="Arial" w:hAnsi="Arial"/>
          <w:b w:val="false"/>
          <w:bCs w:val="false"/>
          <w:i w:val="false"/>
          <w:iCs w:val="false"/>
          <w:color w:val="1A1A1A"/>
          <w:sz w:val="21"/>
          <w:szCs w:val="21"/>
        </w:rPr>
        <w:t xml:space="preserve">_compute_streak (backend/app/analytics/engine.py) initializes cur = 0 and only sets it to 1 on the very first (most recent) day if that day is part of the currently-active streak (today or yesterday). If the most recent solved day is not current — i.e. any time the user's longest streak is a past, completed one rather than their active streak — that first day is never counted, so the chain containing it is under-counted by exactly one day in the longest_streak result.</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Initialize cur = 1 unconditionally on the first day processed (streak length of at least 1 for that day), and only gate whether it also counts as the current active streak.</w:t>
      </w:r>
    </w:p>
    <w:p>
      <w:pPr>
        <w:spacing w:after="40" w:before="240"/>
      </w:pPr>
      <w:r>
        <w:rPr>
          <w:rFonts w:ascii="Arial" w:cs="Arial" w:eastAsia="Arial" w:hAnsi="Arial"/>
          <w:b/>
          <w:bCs/>
          <w:color w:val="FFFFFF"/>
          <w:sz w:val="17"/>
          <w:szCs w:val="17"/>
          <w:shd w:fill="9A7B0A" w:val="clear"/>
        </w:rPr>
        <w:t xml:space="preserve">  MEDIUM — Grading Correctness  </w:t>
      </w:r>
    </w:p>
    <w:p>
      <w:pPr>
        <w:spacing w:after="100"/>
      </w:pPr>
      <w:r>
        <w:rPr>
          <w:rFonts w:ascii="Arial" w:cs="Arial" w:eastAsia="Arial" w:hAnsi="Arial"/>
          <w:b/>
          <w:bCs/>
          <w:color w:val="1A1A1A"/>
          <w:sz w:val="24"/>
          <w:szCs w:val="24"/>
        </w:rPr>
        <w:t xml:space="preserve">13. The grading harness can call the wrong function for multi-function solutions</w:t>
      </w:r>
    </w:p>
    <w:p>
      <w:pPr>
        <w:spacing w:after="100" w:before="0"/>
      </w:pPr>
      <w:r>
        <w:rPr>
          <w:rFonts w:ascii="Arial" w:cs="Arial" w:eastAsia="Arial" w:hAnsi="Arial"/>
          <w:b w:val="false"/>
          <w:bCs w:val="false"/>
          <w:i w:val="false"/>
          <w:iCs w:val="false"/>
          <w:color w:val="1A1A1A"/>
          <w:sz w:val="21"/>
          <w:szCs w:val="21"/>
        </w:rPr>
        <w:t xml:space="preserve">_build_test_harness (code-runner/executor.py) picks the entry point by taking the first user-defined function encountered in globals().items() — i.e. whichever function appears first in the source, not necessarily the one intended as the solution. A user who writes a small helper function before their main solve() function (a completely normal coding habit) will have the harness silently call the helper instead, producing a confusing, incorrect Wrong Answer verdict for a logically correct solution.</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Require (and document) a fixed entry-point name (e.g. always solution or solve), or have the harness prefer the last-defined function, or explicitly detect and use the function whose signature/arity matches the test case's parsed arguments.</w:t>
      </w:r>
    </w:p>
    <w:p>
      <w:pPr>
        <w:spacing w:after="40" w:before="240"/>
      </w:pPr>
      <w:r>
        <w:rPr>
          <w:rFonts w:ascii="Arial" w:cs="Arial" w:eastAsia="Arial" w:hAnsi="Arial"/>
          <w:b/>
          <w:bCs/>
          <w:color w:val="FFFFFF"/>
          <w:sz w:val="17"/>
          <w:szCs w:val="17"/>
          <w:shd w:fill="9A7B0A" w:val="clear"/>
        </w:rPr>
        <w:t xml:space="preserve">  MEDIUM — Deployment / Performance  </w:t>
      </w:r>
    </w:p>
    <w:p>
      <w:pPr>
        <w:spacing w:after="100"/>
      </w:pPr>
      <w:r>
        <w:rPr>
          <w:rFonts w:ascii="Arial" w:cs="Arial" w:eastAsia="Arial" w:hAnsi="Arial"/>
          <w:b/>
          <w:bCs/>
          <w:color w:val="1A1A1A"/>
          <w:sz w:val="24"/>
          <w:szCs w:val="24"/>
        </w:rPr>
        <w:t xml:space="preserve">14. The documented “production” Docker Compose setup runs the frontend's dev server, not a build</w:t>
      </w:r>
    </w:p>
    <w:p>
      <w:pPr>
        <w:spacing w:after="100" w:before="0"/>
      </w:pPr>
      <w:r>
        <w:rPr>
          <w:rFonts w:ascii="Arial" w:cs="Arial" w:eastAsia="Arial" w:hAnsi="Arial"/>
          <w:b w:val="false"/>
          <w:bCs w:val="false"/>
          <w:i w:val="false"/>
          <w:iCs w:val="false"/>
          <w:color w:val="1A1A1A"/>
          <w:sz w:val="21"/>
          <w:szCs w:val="21"/>
        </w:rPr>
        <w:t xml:space="preserve">frontend/Dockerfile's CMD is npm run dev -- --host 0.0.0.0, and docker-compose.yml — the exact file README's Quick Start tells users to run for self-hosting — bind-mounts the full source tree (volumes: ./frontend:/app) and never runs vite build. Every page load ships unbundled, unminified ES modules and keeps a live Vite HMR WebSocket open (nginx.conf even proxies /ws for it) in what is presented as the standard deployment path. The backend's docker-compose command also hardcodes --reload, and its volumes: ./backend:/app bind-mount likewise keeps the container running directly against live source rather than a fixed image.</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Add a production Dockerfile stage that runs vite build and serves the static dist/ output (via nginx or a tiny static server), and use it — or a docker-compose.prod.yml without the bind mounts and --reload/dev flags — as the path the README actually recommends for self-hosting.</w:t>
      </w:r>
    </w:p>
    <w:p>
      <w:pPr>
        <w:spacing w:after="40" w:before="240"/>
      </w:pPr>
      <w:r>
        <w:rPr>
          <w:rFonts w:ascii="Arial" w:cs="Arial" w:eastAsia="Arial" w:hAnsi="Arial"/>
          <w:b/>
          <w:bCs/>
          <w:color w:val="FFFFFF"/>
          <w:sz w:val="17"/>
          <w:szCs w:val="17"/>
          <w:shd w:fill="9A7B0A" w:val="clear"/>
        </w:rPr>
        <w:t xml:space="preserve">  MEDIUM — Code-Runner / Resource Limits  </w:t>
      </w:r>
    </w:p>
    <w:p>
      <w:pPr>
        <w:spacing w:after="100"/>
      </w:pPr>
      <w:r>
        <w:rPr>
          <w:rFonts w:ascii="Arial" w:cs="Arial" w:eastAsia="Arial" w:hAnsi="Arial"/>
          <w:b/>
          <w:bCs/>
          <w:color w:val="1A1A1A"/>
          <w:sz w:val="24"/>
          <w:szCs w:val="24"/>
        </w:rPr>
        <w:t xml:space="preserve">15. Declared execution limits aren't actually enforced by the code that reads them</w:t>
      </w:r>
    </w:p>
    <w:p>
      <w:pPr>
        <w:spacing w:after="100" w:before="0"/>
      </w:pPr>
      <w:r>
        <w:rPr>
          <w:rFonts w:ascii="Arial" w:cs="Arial" w:eastAsia="Arial" w:hAnsi="Arial"/>
          <w:b w:val="false"/>
          <w:bCs w:val="false"/>
          <w:i w:val="false"/>
          <w:iCs w:val="false"/>
          <w:color w:val="1A1A1A"/>
          <w:sz w:val="21"/>
          <w:szCs w:val="21"/>
        </w:rPr>
        <w:t xml:space="preserve">docker-compose.yml sets MAX_EXECUTION_TIME=10 and MAX_MEMORY_MB=128 as environment variables for the code-runner service, but code-runner/executor.py never reads either — MAX_EXEC_SECS is a hardcoded Python constant (10), and there is no per-execution memory limit at all (no resource.setrlimit or equivalent). The only real memory ceiling is the container-wide mem_limit: 256m in Compose, shared across both gunicorn workers and the Flask process itself, not the 128MB per-run the environment variable implies.</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Either wire MAX_EXECUTION_TIME/MAX_MEMORY_MB into executor.py (read from os.environ, apply resource.setrlimit(RLIMIT_AS, ...) before exec'ing user code) or remove the unused variables from Compose so the configuration doesn't imply protections that don't exist.</w:t>
      </w:r>
    </w:p>
    <w:p>
      <w:pPr>
        <w:spacing w:after="40" w:before="240"/>
      </w:pPr>
      <w:r>
        <w:rPr>
          <w:rFonts w:ascii="Arial" w:cs="Arial" w:eastAsia="Arial" w:hAnsi="Arial"/>
          <w:b/>
          <w:bCs/>
          <w:color w:val="FFFFFF"/>
          <w:sz w:val="17"/>
          <w:szCs w:val="17"/>
          <w:shd w:fill="9A7B0A" w:val="clear"/>
        </w:rPr>
        <w:t xml:space="preserve">  MEDIUM — Data Migration  </w:t>
      </w:r>
    </w:p>
    <w:p>
      <w:pPr>
        <w:spacing w:after="100"/>
      </w:pPr>
      <w:r>
        <w:rPr>
          <w:rFonts w:ascii="Arial" w:cs="Arial" w:eastAsia="Arial" w:hAnsi="Arial"/>
          <w:b/>
          <w:bCs/>
          <w:color w:val="1A1A1A"/>
          <w:sz w:val="24"/>
          <w:szCs w:val="24"/>
        </w:rPr>
        <w:t xml:space="preserve">16. Legacy sentinel data isn't fully claimed by the first registered user</w:t>
      </w:r>
    </w:p>
    <w:p>
      <w:pPr>
        <w:spacing w:after="100" w:before="0"/>
      </w:pPr>
      <w:r>
        <w:rPr>
          <w:rFonts w:ascii="Arial" w:cs="Arial" w:eastAsia="Arial" w:hAnsi="Arial"/>
          <w:b w:val="false"/>
          <w:bCs w:val="false"/>
          <w:i w:val="false"/>
          <w:iCs w:val="false"/>
          <w:color w:val="1A1A1A"/>
          <w:sz w:val="21"/>
          <w:szCs w:val="21"/>
        </w:rPr>
        <w:t xml:space="preserve">_claim_legacy_data (backend/app/api/auth.py) reassigns rows tagged with the pre-auth sentinel UUID for six tables (problem_progress, problem_attempts, error_patterns, ai_insights, learning_milestones, topic_mastery) to the first registered user. The five interview-module tables added later (self_assessments, review_schedule, mistake_log, contest_log, ds_fluency) — which are seeded with the identical sentinel default in backend/app/models/interview.py — are missing from that list. Any interview-readiness data created before the first account existed stays permanently attributed to the sentinel user and never surfaces for the real admin account.</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Add the five interview tables to the _claim_legacy_data table list.</w:t>
      </w:r>
    </w:p>
    <w:p>
      <w:pPr>
        <w:spacing w:after="40" w:before="240"/>
      </w:pPr>
      <w:r>
        <w:rPr>
          <w:rFonts w:ascii="Arial" w:cs="Arial" w:eastAsia="Arial" w:hAnsi="Arial"/>
          <w:b/>
          <w:bCs/>
          <w:color w:val="FFFFFF"/>
          <w:sz w:val="17"/>
          <w:szCs w:val="17"/>
          <w:shd w:fill="9A7B0A" w:val="clear"/>
        </w:rPr>
        <w:t xml:space="preserve">  MEDIUM — UI/UX — Analytics Accuracy  </w:t>
      </w:r>
    </w:p>
    <w:p>
      <w:pPr>
        <w:spacing w:after="100"/>
      </w:pPr>
      <w:r>
        <w:rPr>
          <w:rFonts w:ascii="Arial" w:cs="Arial" w:eastAsia="Arial" w:hAnsi="Arial"/>
          <w:b/>
          <w:bCs/>
          <w:color w:val="1A1A1A"/>
          <w:sz w:val="24"/>
          <w:szCs w:val="24"/>
        </w:rPr>
        <w:t xml:space="preserve">17. The solve timer defaults to off, likely undercounting time-spent analytics for most users</w:t>
      </w:r>
    </w:p>
    <w:p>
      <w:pPr>
        <w:spacing w:after="100" w:before="0"/>
      </w:pPr>
      <w:r>
        <w:rPr>
          <w:rFonts w:ascii="Arial" w:cs="Arial" w:eastAsia="Arial" w:hAnsi="Arial"/>
          <w:b w:val="false"/>
          <w:bCs w:val="false"/>
          <w:i w:val="false"/>
          <w:iCs w:val="false"/>
          <w:color w:val="1A1A1A"/>
          <w:sz w:val="21"/>
          <w:szCs w:val="21"/>
        </w:rPr>
        <w:t xml:space="preserve">In ProblemPage.jsx, timerActive starts as useState(false), and the only way to start the on-page timer is to notice and click the small time chip in the toolbar — there's no visual cue, tooltip-on-load, or auto-start on first keystroke. Since time_spent_secs is exactly what's sent to /attempts/run and accumulated into total_time_secs (used throughout the analytics engine and the “Solve Speed” dimension of the interview-readiness score), any user who doesn't discover the manual toggle will have their solve time recorded as zero — silently skewing a metric the product markets as a core feature.</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Auto-start the timer on the first Monaco editor change event (with a way to pause), or at minimum show a one-time tooltip/nudge pointing at the chip the first time a user opens a problem.</w:t>
      </w:r>
    </w:p>
    <w:p>
      <w:pPr>
        <w:spacing w:after="40" w:before="240"/>
      </w:pPr>
      <w:r>
        <w:rPr>
          <w:rFonts w:ascii="Arial" w:cs="Arial" w:eastAsia="Arial" w:hAnsi="Arial"/>
          <w:b/>
          <w:bCs/>
          <w:color w:val="FFFFFF"/>
          <w:sz w:val="17"/>
          <w:szCs w:val="17"/>
          <w:shd w:fill="9A7B0A" w:val="clear"/>
        </w:rPr>
        <w:t xml:space="preserve">  MEDIUM — Product Copy Accuracy  </w:t>
      </w:r>
    </w:p>
    <w:p>
      <w:pPr>
        <w:spacing w:after="100"/>
      </w:pPr>
      <w:r>
        <w:rPr>
          <w:rFonts w:ascii="Arial" w:cs="Arial" w:eastAsia="Arial" w:hAnsi="Arial"/>
          <w:b/>
          <w:bCs/>
          <w:color w:val="1A1A1A"/>
          <w:sz w:val="24"/>
          <w:szCs w:val="24"/>
        </w:rPr>
        <w:t xml:space="preserve">18. Settings page overstates the encryption used for the stored API key</w:t>
      </w:r>
    </w:p>
    <w:p>
      <w:pPr>
        <w:spacing w:after="100" w:before="0"/>
      </w:pPr>
      <w:r>
        <w:rPr>
          <w:rFonts w:ascii="Arial" w:cs="Arial" w:eastAsia="Arial" w:hAnsi="Arial"/>
          <w:b w:val="false"/>
          <w:bCs w:val="false"/>
          <w:i w:val="false"/>
          <w:iCs w:val="false"/>
          <w:color w:val="1A1A1A"/>
          <w:sz w:val="21"/>
          <w:szCs w:val="21"/>
        </w:rPr>
        <w:t xml:space="preserve">SettingsPage.jsx tells users the OpenAI key “is encrypted with AES-256 before storage.” The actual implementation (backend/app/core/encryption.py) uses Fernet, which is AES-128-CBC combined with HMAC-SHA256 — a reasonable and standard choice, but not AES-256. This is a small but verifiable inaccuracy in security-relevant product copy.</w:t>
      </w:r>
    </w:p>
    <w:p>
      <w:pPr>
        <w:spacing w:after="260" w:before="0"/>
      </w:pPr>
      <w:r>
        <w:rPr>
          <w:rFonts w:ascii="Arial" w:cs="Arial" w:eastAsia="Arial" w:hAnsi="Arial"/>
          <w:b/>
          <w:bCs/>
          <w:color w:val="9A7B0A"/>
          <w:sz w:val="21"/>
          <w:szCs w:val="21"/>
        </w:rPr>
        <w:t xml:space="preserve">Recommended fix: </w:t>
      </w:r>
      <w:r>
        <w:rPr>
          <w:rFonts w:ascii="Arial" w:cs="Arial" w:eastAsia="Arial" w:hAnsi="Arial"/>
          <w:color w:val="1A1A1A"/>
          <w:sz w:val="21"/>
          <w:szCs w:val="21"/>
        </w:rPr>
        <w:t xml:space="preserve">Correct the copy to describe what's actually implemented (e.g. “encrypted at rest using Fernet (AES-128 + HMAC-SHA256)”), or upgrade the encryption helper to AES-256-GCM if the stronger claim is desired.</w:t>
      </w:r>
    </w:p>
    <w:p>
      <w:r>
        <w:br w:type="page"/>
      </w:r>
    </w:p>
    <w:p>
      <w:pPr>
        <w:pStyle w:val="Heading1"/>
      </w:pPr>
      <w:r>
        <w:rPr>
          <w:rFonts w:ascii="Arial" w:cs="Arial" w:eastAsia="Arial" w:hAnsi="Arial"/>
        </w:rPr>
        <w:t xml:space="preserve">Low Findings</w:t>
      </w:r>
    </w:p>
    <w:p>
      <w:pPr>
        <w:spacing w:after="160" w:before="0"/>
      </w:pPr>
      <w:r>
        <w:rPr>
          <w:rFonts w:ascii="Arial" w:cs="Arial" w:eastAsia="Arial" w:hAnsi="Arial"/>
          <w:b w:val="false"/>
          <w:bCs w:val="false"/>
          <w:i w:val="false"/>
          <w:iCs w:val="false"/>
          <w:color w:val="1A1A1A"/>
          <w:sz w:val="21"/>
          <w:szCs w:val="21"/>
        </w:rPr>
        <w:t xml:space="preserve">Maintainability, cleanup, and documentation debt. Low effort, worth batching into a single housekeeping pass.</w:t>
      </w:r>
    </w:p>
    <w:p>
      <w:pPr>
        <w:spacing w:after="40" w:before="240"/>
      </w:pPr>
      <w:r>
        <w:rPr>
          <w:rFonts w:ascii="Arial" w:cs="Arial" w:eastAsia="Arial" w:hAnsi="Arial"/>
          <w:b/>
          <w:bCs/>
          <w:color w:val="FFFFFF"/>
          <w:sz w:val="17"/>
          <w:szCs w:val="17"/>
          <w:shd w:fill="555F6B" w:val="clear"/>
        </w:rPr>
        <w:t xml:space="preserve">  LOW — Repo Hygiene  </w:t>
      </w:r>
    </w:p>
    <w:p>
      <w:pPr>
        <w:spacing w:after="100"/>
      </w:pPr>
      <w:r>
        <w:rPr>
          <w:rFonts w:ascii="Arial" w:cs="Arial" w:eastAsia="Arial" w:hAnsi="Arial"/>
          <w:b/>
          <w:bCs/>
          <w:color w:val="1A1A1A"/>
          <w:sz w:val="24"/>
          <w:szCs w:val="24"/>
        </w:rPr>
        <w:t xml:space="preserve">19. A stale, git-committed frontend build sits unused inside the backend</w:t>
      </w:r>
    </w:p>
    <w:p>
      <w:pPr>
        <w:spacing w:after="100" w:before="0"/>
      </w:pPr>
      <w:r>
        <w:rPr>
          <w:rFonts w:ascii="Arial" w:cs="Arial" w:eastAsia="Arial" w:hAnsi="Arial"/>
          <w:b w:val="false"/>
          <w:bCs w:val="false"/>
          <w:i w:val="false"/>
          <w:iCs w:val="false"/>
          <w:color w:val="1A1A1A"/>
          <w:sz w:val="21"/>
          <w:szCs w:val="21"/>
        </w:rPr>
        <w:t xml:space="preserve">backend/static/ contains a full built frontend bundle (index.html plus 13 hashed .js/.css files) and is checked into git, but nothing in the backend mounts or serves it — there is no StaticFiles anywhere in app/main.py. It's dead weight that bloats the repository and gets copied into the backend Docker build context on every build (backend/Dockerfile does COPY . .).</w:t>
      </w:r>
    </w:p>
    <w:p>
      <w:pPr>
        <w:spacing w:after="260" w:before="0"/>
      </w:pPr>
      <w:r>
        <w:rPr>
          <w:rFonts w:ascii="Arial" w:cs="Arial" w:eastAsia="Arial" w:hAnsi="Arial"/>
          <w:b/>
          <w:bCs/>
          <w:color w:val="555F6B"/>
          <w:sz w:val="21"/>
          <w:szCs w:val="21"/>
        </w:rPr>
        <w:t xml:space="preserve">Recommended fix: </w:t>
      </w:r>
      <w:r>
        <w:rPr>
          <w:rFonts w:ascii="Arial" w:cs="Arial" w:eastAsia="Arial" w:hAnsi="Arial"/>
          <w:color w:val="1A1A1A"/>
          <w:sz w:val="21"/>
          <w:szCs w:val="21"/>
        </w:rPr>
        <w:t xml:space="preserve">Delete backend/static/ and add it to .gitignore, or if there's a reason to serve the SPA from the backend directly, wire it up with FastAPI's StaticFiles and remove the separate frontend/nginx serving path.</w:t>
      </w:r>
    </w:p>
    <w:p>
      <w:pPr>
        <w:spacing w:after="40" w:before="240"/>
      </w:pPr>
      <w:r>
        <w:rPr>
          <w:rFonts w:ascii="Arial" w:cs="Arial" w:eastAsia="Arial" w:hAnsi="Arial"/>
          <w:b/>
          <w:bCs/>
          <w:color w:val="FFFFFF"/>
          <w:sz w:val="17"/>
          <w:szCs w:val="17"/>
          <w:shd w:fill="555F6B" w:val="clear"/>
        </w:rPr>
        <w:t xml:space="preserve">  LOW — Database / Performance  </w:t>
      </w:r>
    </w:p>
    <w:p>
      <w:pPr>
        <w:spacing w:after="100"/>
      </w:pPr>
      <w:r>
        <w:rPr>
          <w:rFonts w:ascii="Arial" w:cs="Arial" w:eastAsia="Arial" w:hAnsi="Arial"/>
          <w:b/>
          <w:bCs/>
          <w:color w:val="1A1A1A"/>
          <w:sz w:val="24"/>
          <w:szCs w:val="24"/>
        </w:rPr>
        <w:t xml:space="preserve">20. A TimescaleDB continuous aggregate is created and refreshed but never queried</w:t>
      </w:r>
    </w:p>
    <w:p>
      <w:pPr>
        <w:spacing w:after="100" w:before="0"/>
      </w:pPr>
      <w:r>
        <w:rPr>
          <w:rFonts w:ascii="Arial" w:cs="Arial" w:eastAsia="Arial" w:hAnsi="Arial"/>
          <w:b w:val="false"/>
          <w:bCs w:val="false"/>
          <w:i w:val="false"/>
          <w:iCs w:val="false"/>
          <w:color w:val="1A1A1A"/>
          <w:sz w:val="21"/>
          <w:szCs w:val="21"/>
        </w:rPr>
        <w:t xml:space="preserve">db/init.sql defines a daily_stats continuous aggregate with an hourly refresh policy, but get_daily_stats (backend/app/analytics/engine.py) explicitly bypasses it — the code's own comment notes the aggregate has no user_id dimension, so a raw per-user query is used instead. TimescaleDB keeps refreshing this materialized view on schedule for no consumer.</w:t>
      </w:r>
    </w:p>
    <w:p>
      <w:pPr>
        <w:spacing w:after="260" w:before="0"/>
      </w:pPr>
      <w:r>
        <w:rPr>
          <w:rFonts w:ascii="Arial" w:cs="Arial" w:eastAsia="Arial" w:hAnsi="Arial"/>
          <w:b/>
          <w:bCs/>
          <w:color w:val="555F6B"/>
          <w:sz w:val="21"/>
          <w:szCs w:val="21"/>
        </w:rPr>
        <w:t xml:space="preserve">Recommended fix: </w:t>
      </w:r>
      <w:r>
        <w:rPr>
          <w:rFonts w:ascii="Arial" w:cs="Arial" w:eastAsia="Arial" w:hAnsi="Arial"/>
          <w:color w:val="1A1A1A"/>
          <w:sz w:val="21"/>
          <w:szCs w:val="21"/>
        </w:rPr>
        <w:t xml:space="preserve">Either drop the continuous aggregate (simplify db/init.sql) or redesign it with a user_id dimension and actually use it for the (currently unscoped, admin-level) daily stats query.</w:t>
      </w:r>
    </w:p>
    <w:p>
      <w:pPr>
        <w:spacing w:after="40" w:before="240"/>
      </w:pPr>
      <w:r>
        <w:rPr>
          <w:rFonts w:ascii="Arial" w:cs="Arial" w:eastAsia="Arial" w:hAnsi="Arial"/>
          <w:b/>
          <w:bCs/>
          <w:color w:val="FFFFFF"/>
          <w:sz w:val="17"/>
          <w:szCs w:val="17"/>
          <w:shd w:fill="555F6B" w:val="clear"/>
        </w:rPr>
        <w:t xml:space="preserve">  LOW — Code Quality  </w:t>
      </w:r>
    </w:p>
    <w:p>
      <w:pPr>
        <w:spacing w:after="100"/>
      </w:pPr>
      <w:r>
        <w:rPr>
          <w:rFonts w:ascii="Arial" w:cs="Arial" w:eastAsia="Arial" w:hAnsi="Arial"/>
          <w:b/>
          <w:bCs/>
          <w:color w:val="1A1A1A"/>
          <w:sz w:val="24"/>
          <w:szCs w:val="24"/>
        </w:rPr>
        <w:t xml:space="preserve">21. Admin problem-lookup by slug uses loose substring matching over a full table scan</w:t>
      </w:r>
    </w:p>
    <w:p>
      <w:pPr>
        <w:spacing w:after="100" w:before="0"/>
      </w:pPr>
      <w:r>
        <w:rPr>
          <w:rFonts w:ascii="Arial" w:cs="Arial" w:eastAsia="Arial" w:hAnsi="Arial"/>
          <w:b w:val="false"/>
          <w:bCs w:val="false"/>
          <w:i w:val="false"/>
          <w:iCs w:val="false"/>
          <w:color w:val="1A1A1A"/>
          <w:sz w:val="21"/>
          <w:szCs w:val="21"/>
        </w:rPr>
        <w:t xml:space="preserve">manual_update_problem and problems_without_description (backend/app/api/admin.py) both call select(Problem) to fetch all ~600 rows into Python and then filter with slug in (p.leetcode_url or "") — a substring containment check rather than exact-match against the parsed slug — instead of filtering in SQL. At 600 rows this is harmless performance-wise, but the substring match can false-positive match unrelated problems whose LeetCode URL happens to contain the given slug as a fragment, and the pattern (fetch-all-then-filter-in-Python) recurs across several admin endpoints.</w:t>
      </w:r>
    </w:p>
    <w:p>
      <w:pPr>
        <w:spacing w:after="260" w:before="0"/>
      </w:pPr>
      <w:r>
        <w:rPr>
          <w:rFonts w:ascii="Arial" w:cs="Arial" w:eastAsia="Arial" w:hAnsi="Arial"/>
          <w:b/>
          <w:bCs/>
          <w:color w:val="555F6B"/>
          <w:sz w:val="21"/>
          <w:szCs w:val="21"/>
        </w:rPr>
        <w:t xml:space="preserve">Recommended fix: </w:t>
      </w:r>
      <w:r>
        <w:rPr>
          <w:rFonts w:ascii="Arial" w:cs="Arial" w:eastAsia="Arial" w:hAnsi="Arial"/>
          <w:color w:val="1A1A1A"/>
          <w:sz w:val="21"/>
          <w:szCs w:val="21"/>
        </w:rPr>
        <w:t xml:space="preserve">Filter with an exact comparison against slug_from_url(p.leetcode_url) and push the filter into the SQL WHERE clause.</w:t>
      </w:r>
    </w:p>
    <w:p>
      <w:pPr>
        <w:spacing w:after="40" w:before="240"/>
      </w:pPr>
      <w:r>
        <w:rPr>
          <w:rFonts w:ascii="Arial" w:cs="Arial" w:eastAsia="Arial" w:hAnsi="Arial"/>
          <w:b/>
          <w:bCs/>
          <w:color w:val="FFFFFF"/>
          <w:sz w:val="17"/>
          <w:szCs w:val="17"/>
          <w:shd w:fill="555F6B" w:val="clear"/>
        </w:rPr>
        <w:t xml:space="preserve">  LOW — Code Quality  </w:t>
      </w:r>
    </w:p>
    <w:p>
      <w:pPr>
        <w:spacing w:after="100"/>
      </w:pPr>
      <w:r>
        <w:rPr>
          <w:rFonts w:ascii="Arial" w:cs="Arial" w:eastAsia="Arial" w:hAnsi="Arial"/>
          <w:b/>
          <w:bCs/>
          <w:color w:val="1A1A1A"/>
          <w:sz w:val="24"/>
          <w:szCs w:val="24"/>
        </w:rPr>
        <w:t xml:space="preserve">22. Miscellaneous dead code and API-contract drift</w:t>
      </w:r>
    </w:p>
    <w:p>
      <w:pPr>
        <w:spacing w:after="100" w:before="0"/>
      </w:pPr>
      <w:r>
        <w:rPr>
          <w:rFonts w:ascii="Arial" w:cs="Arial" w:eastAsia="Arial" w:hAnsi="Arial"/>
          <w:b w:val="false"/>
          <w:bCs w:val="false"/>
          <w:i w:val="false"/>
          <w:iCs w:val="false"/>
          <w:color w:val="1A1A1A"/>
          <w:sz w:val="21"/>
          <w:szCs w:val="21"/>
        </w:rPr>
        <w:t xml:space="preserve">A few small inconsistencies worth cleaning up in one pass: the module-level _check_equal function in code-runner/executor.py (lines 20–51) is unused — only the near-identical copy embedded in the generated harness string actually runs. The frontend's runCode() helper (frontend/src/api/client.js) sends a language field that the backend's RunCodeRequest schema doesn't declare, so it's silently dropped. AuthContext.jsx exposes a loading value in its context that the provider never actually sets (always false), which is misleading for any future consumer expecting it to reflect an in-flight login/register call.</w:t>
      </w:r>
    </w:p>
    <w:p>
      <w:pPr>
        <w:spacing w:after="260" w:before="0"/>
      </w:pPr>
      <w:r>
        <w:rPr>
          <w:rFonts w:ascii="Arial" w:cs="Arial" w:eastAsia="Arial" w:hAnsi="Arial"/>
          <w:b/>
          <w:bCs/>
          <w:color w:val="555F6B"/>
          <w:sz w:val="21"/>
          <w:szCs w:val="21"/>
        </w:rPr>
        <w:t xml:space="preserve">Recommended fix: </w:t>
      </w:r>
      <w:r>
        <w:rPr>
          <w:rFonts w:ascii="Arial" w:cs="Arial" w:eastAsia="Arial" w:hAnsi="Arial"/>
          <w:color w:val="1A1A1A"/>
          <w:sz w:val="21"/>
          <w:szCs w:val="21"/>
        </w:rPr>
        <w:t xml:space="preserve">Remove the dead _check_equal copy, drop the unused language parameter (or wire it through if multi-language support is planned), and either implement or remove the unused loading state in AuthContext.</w:t>
      </w:r>
    </w:p>
    <w:p>
      <w:pPr>
        <w:spacing w:after="40" w:before="240"/>
      </w:pPr>
      <w:r>
        <w:rPr>
          <w:rFonts w:ascii="Arial" w:cs="Arial" w:eastAsia="Arial" w:hAnsi="Arial"/>
          <w:b/>
          <w:bCs/>
          <w:color w:val="FFFFFF"/>
          <w:sz w:val="17"/>
          <w:szCs w:val="17"/>
          <w:shd w:fill="555F6B" w:val="clear"/>
        </w:rPr>
        <w:t xml:space="preserve">  LOW — Documentation  </w:t>
      </w:r>
    </w:p>
    <w:p>
      <w:pPr>
        <w:spacing w:after="100"/>
      </w:pPr>
      <w:r>
        <w:rPr>
          <w:rFonts w:ascii="Arial" w:cs="Arial" w:eastAsia="Arial" w:hAnsi="Arial"/>
          <w:b/>
          <w:bCs/>
          <w:color w:val="1A1A1A"/>
          <w:sz w:val="24"/>
          <w:szCs w:val="24"/>
        </w:rPr>
        <w:t xml:space="preserve">23. The Interview Readiness feature is entirely undocumented</w:t>
      </w:r>
    </w:p>
    <w:p>
      <w:pPr>
        <w:spacing w:after="100" w:before="0"/>
      </w:pPr>
      <w:r>
        <w:rPr>
          <w:rFonts w:ascii="Arial" w:cs="Arial" w:eastAsia="Arial" w:hAnsi="Arial"/>
          <w:b w:val="false"/>
          <w:bCs w:val="false"/>
          <w:i w:val="false"/>
          <w:iCs w:val="false"/>
          <w:color w:val="1A1A1A"/>
          <w:sz w:val="21"/>
          <w:szCs w:val="21"/>
        </w:rPr>
        <w:t xml:space="preserve">There's a substantial, well-implemented feature area — post-solve self-assessments, SM-2 spaced repetition scheduling, a categorized mistake log, contest-result tracking, per-data-structure fluency ratings, and a 7-dimension composite “interview readiness” score (backend/app/analytics/interview.py, frontend/src/pages/InterviewPage.jsx, ~1,400 lines combined) — with no mention anywhere in README.md. New users and contributors have no way to discover it exists short of clicking around the nav.</w:t>
      </w:r>
    </w:p>
    <w:p>
      <w:pPr>
        <w:spacing w:after="260" w:before="0"/>
      </w:pPr>
      <w:r>
        <w:rPr>
          <w:rFonts w:ascii="Arial" w:cs="Arial" w:eastAsia="Arial" w:hAnsi="Arial"/>
          <w:b/>
          <w:bCs/>
          <w:color w:val="555F6B"/>
          <w:sz w:val="21"/>
          <w:szCs w:val="21"/>
        </w:rPr>
        <w:t xml:space="preserve">Recommended fix: </w:t>
      </w:r>
      <w:r>
        <w:rPr>
          <w:rFonts w:ascii="Arial" w:cs="Arial" w:eastAsia="Arial" w:hAnsi="Arial"/>
          <w:color w:val="1A1A1A"/>
          <w:sz w:val="21"/>
          <w:szCs w:val="21"/>
        </w:rPr>
        <w:t xml:space="preserve">Add an “Interview Readiness” section to README.md describing the self-assessment flow, the spaced-repetition mechanic, and how the composite score is computed.</w:t>
      </w:r>
    </w:p>
    <w:p>
      <w:pPr>
        <w:spacing w:after="40" w:before="240"/>
      </w:pPr>
      <w:r>
        <w:rPr>
          <w:rFonts w:ascii="Arial" w:cs="Arial" w:eastAsia="Arial" w:hAnsi="Arial"/>
          <w:b/>
          <w:bCs/>
          <w:color w:val="FFFFFF"/>
          <w:sz w:val="17"/>
          <w:szCs w:val="17"/>
          <w:shd w:fill="555F6B" w:val="clear"/>
        </w:rPr>
        <w:t xml:space="preserve">  LOW — UI Consistency  </w:t>
      </w:r>
    </w:p>
    <w:p>
      <w:pPr>
        <w:spacing w:after="100"/>
      </w:pPr>
      <w:r>
        <w:rPr>
          <w:rFonts w:ascii="Arial" w:cs="Arial" w:eastAsia="Arial" w:hAnsi="Arial"/>
          <w:b/>
          <w:bCs/>
          <w:color w:val="1A1A1A"/>
          <w:sz w:val="24"/>
          <w:szCs w:val="24"/>
        </w:rPr>
        <w:t xml:space="preserve">24. A native browser confirm() dialog breaks the app's otherwise consistent MUI design language</w:t>
      </w:r>
    </w:p>
    <w:p>
      <w:pPr>
        <w:spacing w:after="100" w:before="0"/>
      </w:pPr>
      <w:r>
        <w:rPr>
          <w:rFonts w:ascii="Arial" w:cs="Arial" w:eastAsia="Arial" w:hAnsi="Arial"/>
          <w:b w:val="false"/>
          <w:bCs w:val="false"/>
          <w:i w:val="false"/>
          <w:iCs w:val="false"/>
          <w:color w:val="1A1A1A"/>
          <w:sz w:val="21"/>
          <w:szCs w:val="21"/>
        </w:rPr>
        <w:t xml:space="preserve">handleResetCode in ProblemPage.jsx uses window.confirm('Reset to starter code?...') — the only place in the app that falls back to an unstyled native browser dialog instead of MUI's Dialog component, which is used consistently everywhere else (including the multi-step PostSolveModal).</w:t>
      </w:r>
    </w:p>
    <w:p>
      <w:pPr>
        <w:spacing w:after="260" w:before="0"/>
      </w:pPr>
      <w:r>
        <w:rPr>
          <w:rFonts w:ascii="Arial" w:cs="Arial" w:eastAsia="Arial" w:hAnsi="Arial"/>
          <w:b/>
          <w:bCs/>
          <w:color w:val="555F6B"/>
          <w:sz w:val="21"/>
          <w:szCs w:val="21"/>
        </w:rPr>
        <w:t xml:space="preserve">Recommended fix: </w:t>
      </w:r>
      <w:r>
        <w:rPr>
          <w:rFonts w:ascii="Arial" w:cs="Arial" w:eastAsia="Arial" w:hAnsi="Arial"/>
          <w:color w:val="1A1A1A"/>
          <w:sz w:val="21"/>
          <w:szCs w:val="21"/>
        </w:rPr>
        <w:t xml:space="preserve">Replace with a small MUI Dialog/ConfirmDialog for visual consistency and to keep the interaction keyboard/screen-reader accessible in the same way as the rest of the app.</w:t>
      </w:r>
    </w:p>
    <w:p>
      <w:pPr>
        <w:spacing w:after="40" w:before="240"/>
      </w:pPr>
      <w:r>
        <w:rPr>
          <w:rFonts w:ascii="Arial" w:cs="Arial" w:eastAsia="Arial" w:hAnsi="Arial"/>
          <w:b/>
          <w:bCs/>
          <w:color w:val="FFFFFF"/>
          <w:sz w:val="17"/>
          <w:szCs w:val="17"/>
          <w:shd w:fill="555F6B" w:val="clear"/>
        </w:rPr>
        <w:t xml:space="preserve">  LOW — Navigation UX  </w:t>
      </w:r>
    </w:p>
    <w:p>
      <w:pPr>
        <w:spacing w:after="100"/>
      </w:pPr>
      <w:r>
        <w:rPr>
          <w:rFonts w:ascii="Arial" w:cs="Arial" w:eastAsia="Arial" w:hAnsi="Arial"/>
          <w:b/>
          <w:bCs/>
          <w:color w:val="1A1A1A"/>
          <w:sz w:val="24"/>
          <w:szCs w:val="24"/>
        </w:rPr>
        <w:t xml:space="preserve">25. Session-expiry redirect does a full page reload instead of client-side navigation</w:t>
      </w:r>
    </w:p>
    <w:p>
      <w:pPr>
        <w:spacing w:after="100" w:before="0"/>
      </w:pPr>
      <w:r>
        <w:rPr>
          <w:rFonts w:ascii="Arial" w:cs="Arial" w:eastAsia="Arial" w:hAnsi="Arial"/>
          <w:b w:val="false"/>
          <w:bCs w:val="false"/>
          <w:i w:val="false"/>
          <w:iCs w:val="false"/>
          <w:color w:val="1A1A1A"/>
          <w:sz w:val="21"/>
          <w:szCs w:val="21"/>
        </w:rPr>
        <w:t xml:space="preserve">The axios response interceptor in frontend/src/api/client.js handles a 401 by setting window.location.href = '/login?reason=session_expired', which triggers a full browser reload rather than using React Router. This discards all in-memory SPA state unnecessarily and is slower/jankier than a client-side redirect.</w:t>
      </w:r>
    </w:p>
    <w:p>
      <w:pPr>
        <w:spacing w:after="260" w:before="0"/>
      </w:pPr>
      <w:r>
        <w:rPr>
          <w:rFonts w:ascii="Arial" w:cs="Arial" w:eastAsia="Arial" w:hAnsi="Arial"/>
          <w:b/>
          <w:bCs/>
          <w:color w:val="555F6B"/>
          <w:sz w:val="21"/>
          <w:szCs w:val="21"/>
        </w:rPr>
        <w:t xml:space="preserve">Recommended fix: </w:t>
      </w:r>
      <w:r>
        <w:rPr>
          <w:rFonts w:ascii="Arial" w:cs="Arial" w:eastAsia="Arial" w:hAnsi="Arial"/>
          <w:color w:val="1A1A1A"/>
          <w:sz w:val="21"/>
          <w:szCs w:val="21"/>
        </w:rPr>
        <w:t xml:space="preserve">Use a router-aware redirect (e.g. an event emitter the AuthProvider listens to, or lifting the interceptor logic into a component that has access to useNavigate) instead of a hard location change.</w:t>
      </w:r>
    </w:p>
    <w:p>
      <w:pPr>
        <w:spacing w:after="40" w:before="240"/>
      </w:pPr>
      <w:r>
        <w:rPr>
          <w:rFonts w:ascii="Arial" w:cs="Arial" w:eastAsia="Arial" w:hAnsi="Arial"/>
          <w:b/>
          <w:bCs/>
          <w:color w:val="FFFFFF"/>
          <w:sz w:val="17"/>
          <w:szCs w:val="17"/>
          <w:shd w:fill="555F6B" w:val="clear"/>
        </w:rPr>
        <w:t xml:space="preserve">  LOW — Infrastructure  </w:t>
      </w:r>
    </w:p>
    <w:p>
      <w:pPr>
        <w:spacing w:after="100"/>
      </w:pPr>
      <w:r>
        <w:rPr>
          <w:rFonts w:ascii="Arial" w:cs="Arial" w:eastAsia="Arial" w:hAnsi="Arial"/>
          <w:b/>
          <w:bCs/>
          <w:color w:val="1A1A1A"/>
          <w:sz w:val="24"/>
          <w:szCs w:val="24"/>
        </w:rPr>
        <w:t xml:space="preserve">26. No resource limits on backend, frontend, nginx, or db containers</w:t>
      </w:r>
    </w:p>
    <w:p>
      <w:pPr>
        <w:spacing w:after="100" w:before="0"/>
      </w:pPr>
      <w:r>
        <w:rPr>
          <w:rFonts w:ascii="Arial" w:cs="Arial" w:eastAsia="Arial" w:hAnsi="Arial"/>
          <w:b w:val="false"/>
          <w:bCs w:val="false"/>
          <w:i w:val="false"/>
          <w:iCs w:val="false"/>
          <w:color w:val="1A1A1A"/>
          <w:sz w:val="21"/>
          <w:szCs w:val="21"/>
        </w:rPr>
        <w:t xml:space="preserve">Only the code-runner service in docker-compose.yml sets mem_limit/cpus. A runaway backend process (e.g. a large query, a memory leak, or the daily_stats aggregate above interacting badly with load) has no cgroup ceiling and could exhaust host memory even though the code-runner — the component actually designed to run untrusted-ish workloads — is capped.</w:t>
      </w:r>
    </w:p>
    <w:p>
      <w:pPr>
        <w:spacing w:after="260" w:before="0"/>
      </w:pPr>
      <w:r>
        <w:rPr>
          <w:rFonts w:ascii="Arial" w:cs="Arial" w:eastAsia="Arial" w:hAnsi="Arial"/>
          <w:b/>
          <w:bCs/>
          <w:color w:val="555F6B"/>
          <w:sz w:val="21"/>
          <w:szCs w:val="21"/>
        </w:rPr>
        <w:t xml:space="preserve">Recommended fix: </w:t>
      </w:r>
      <w:r>
        <w:rPr>
          <w:rFonts w:ascii="Arial" w:cs="Arial" w:eastAsia="Arial" w:hAnsi="Arial"/>
          <w:color w:val="1A1A1A"/>
          <w:sz w:val="21"/>
          <w:szCs w:val="21"/>
        </w:rPr>
        <w:t xml:space="preserve">Add conservative mem_limit/cpus to the remaining services, sized to the host(s) this is expected to run on.</w:t>
      </w:r>
    </w:p>
    <w:p>
      <w:r>
        <w:br w:type="page"/>
      </w:r>
    </w:p>
    <w:p>
      <w:pPr>
        <w:pStyle w:val="Heading1"/>
      </w:pPr>
      <w:r>
        <w:rPr>
          <w:rFonts w:ascii="Arial" w:cs="Arial" w:eastAsia="Arial" w:hAnsi="Arial"/>
        </w:rPr>
        <w:t xml:space="preserve">What's Already Working Well</w:t>
      </w:r>
    </w:p>
    <w:p>
      <w:pPr>
        <w:spacing w:after="140" w:before="0"/>
      </w:pPr>
      <w:r>
        <w:rPr>
          <w:rFonts w:ascii="Arial" w:cs="Arial" w:eastAsia="Arial" w:hAnsi="Arial"/>
          <w:b w:val="false"/>
          <w:bCs w:val="false"/>
          <w:i w:val="false"/>
          <w:iCs w:val="false"/>
          <w:color w:val="1A1A1A"/>
          <w:sz w:val="21"/>
          <w:szCs w:val="21"/>
        </w:rPr>
        <w:t xml:space="preserve">A thorough audit skews toward what's broken, so it's worth being explicit about the parts of this codebase that are in good shape and shouldn't be disturbed while fixing the items above:</w:t>
      </w:r>
    </w:p>
    <w:p>
      <w:pPr>
        <w:pStyle w:val="ListParagraph"/>
        <w:numPr>
          <w:ilvl w:val="0"/>
          <w:numId w:val="2"/>
        </w:numPr>
        <w:spacing w:after="80"/>
      </w:pPr>
      <w:r>
        <w:rPr>
          <w:rFonts w:ascii="Arial" w:cs="Arial" w:eastAsia="Arial" w:hAnsi="Arial"/>
          <w:color w:val="1A1A1A"/>
          <w:sz w:val="21"/>
          <w:szCs w:val="21"/>
        </w:rPr>
        <w:t xml:space="preserve">Clean separation of concerns on the backend — routers, Pydantic schemas, SQLAlchemy models, and the analytics/AI business logic each live in their own module, making the codebase easy to navigate.</w:t>
      </w:r>
    </w:p>
    <w:p>
      <w:pPr>
        <w:pStyle w:val="ListParagraph"/>
        <w:numPr>
          <w:ilvl w:val="0"/>
          <w:numId w:val="2"/>
        </w:numPr>
        <w:spacing w:after="80"/>
      </w:pPr>
      <w:r>
        <w:rPr>
          <w:rFonts w:ascii="Arial" w:cs="Arial" w:eastAsia="Arial" w:hAnsi="Arial"/>
          <w:color w:val="1A1A1A"/>
          <w:sz w:val="21"/>
          <w:szCs w:val="21"/>
        </w:rPr>
        <w:t xml:space="preserve">Sensible baseline security hygiene: bcrypt password hashing, HS256 JWTs, slowapi rate limiting on the two most sensitive auth endpoints, a require_admin dependency correctly applied at the router level for all admin routes, and a boot-time refusal to start with a placeholder SECRET_KEY.</w:t>
      </w:r>
    </w:p>
    <w:p>
      <w:pPr>
        <w:pStyle w:val="ListParagraph"/>
        <w:numPr>
          <w:ilvl w:val="0"/>
          <w:numId w:val="2"/>
        </w:numPr>
        <w:spacing w:after="80"/>
      </w:pPr>
      <w:r>
        <w:rPr>
          <w:rFonts w:ascii="Arial" w:cs="Arial" w:eastAsia="Arial" w:hAnsi="Arial"/>
          <w:color w:val="1A1A1A"/>
          <w:sz w:val="21"/>
          <w:szCs w:val="21"/>
        </w:rPr>
        <w:t xml:space="preserve">The code-runner's Docker hardening (no-new-privileges, all capabilities dropped, read-only root filesystem, tmpfs /tmp, a non-root user, and container-level mem/cpu limits) is a solid baseline that most self-hosted tools skip entirely — it just needs to be paired with the grading-integrity and network-isolation fixes above to be sufficient.</w:t>
      </w:r>
    </w:p>
    <w:p>
      <w:pPr>
        <w:pStyle w:val="ListParagraph"/>
        <w:numPr>
          <w:ilvl w:val="0"/>
          <w:numId w:val="2"/>
        </w:numPr>
        <w:spacing w:after="80"/>
      </w:pPr>
      <w:r>
        <w:rPr>
          <w:rFonts w:ascii="Arial" w:cs="Arial" w:eastAsia="Arial" w:hAnsi="Arial"/>
          <w:color w:val="1A1A1A"/>
          <w:sz w:val="21"/>
          <w:szCs w:val="21"/>
        </w:rPr>
        <w:t xml:space="preserve">The SM-2 spaced-repetition implementation (analytics/interview.py) is a correct, textbook implementation — interval/ease-factor math checks out.</w:t>
      </w:r>
    </w:p>
    <w:p>
      <w:pPr>
        <w:pStyle w:val="ListParagraph"/>
        <w:numPr>
          <w:ilvl w:val="0"/>
          <w:numId w:val="2"/>
        </w:numPr>
        <w:spacing w:after="80"/>
      </w:pPr>
      <w:r>
        <w:rPr>
          <w:rFonts w:ascii="Arial" w:cs="Arial" w:eastAsia="Arial" w:hAnsi="Arial"/>
          <w:color w:val="1A1A1A"/>
          <w:sz w:val="21"/>
          <w:szCs w:val="21"/>
        </w:rPr>
        <w:t xml:space="preserve">The composite “interview readiness” score is a genuinely thoughtful piece of product design: seven independently-computed, sensibly-weighted dimensions with clear, non-magic-number-free detail strings for each.</w:t>
      </w:r>
    </w:p>
    <w:p>
      <w:pPr>
        <w:pStyle w:val="ListParagraph"/>
        <w:numPr>
          <w:ilvl w:val="0"/>
          <w:numId w:val="2"/>
        </w:numPr>
        <w:spacing w:after="80"/>
      </w:pPr>
      <w:r>
        <w:rPr>
          <w:rFonts w:ascii="Arial" w:cs="Arial" w:eastAsia="Arial" w:hAnsi="Arial"/>
          <w:color w:val="1A1A1A"/>
          <w:sz w:val="21"/>
          <w:szCs w:val="21"/>
        </w:rPr>
        <w:t xml:space="preserve">Good use of MUI's Skeleton components for loading states (TrackerPage, AnalyticsPage) instead of blank screens or spinners-only, and consistent optimistic UI updates (starring, confidence rating) that make the app feel responsive.</w:t>
      </w:r>
    </w:p>
    <w:p>
      <w:pPr>
        <w:pStyle w:val="ListParagraph"/>
        <w:numPr>
          <w:ilvl w:val="0"/>
          <w:numId w:val="2"/>
        </w:numPr>
        <w:spacing w:after="80"/>
      </w:pPr>
      <w:r>
        <w:rPr>
          <w:rFonts w:ascii="Arial" w:cs="Arial" w:eastAsia="Arial" w:hAnsi="Arial"/>
          <w:color w:val="1A1A1A"/>
          <w:sz w:val="21"/>
          <w:szCs w:val="21"/>
        </w:rPr>
        <w:t xml:space="preserve">Auto-save on both code and notes with sensible debounce windows, and a resumable “Continue where you left off” affordance on the tracker — both are the kind of detail that's easy to skip and wasn't.</w:t>
      </w:r>
    </w:p>
    <w:p>
      <w:pPr>
        <w:pStyle w:val="ListParagraph"/>
        <w:numPr>
          <w:ilvl w:val="0"/>
          <w:numId w:val="2"/>
        </w:numPr>
        <w:spacing w:after="80"/>
      </w:pPr>
      <w:r>
        <w:rPr>
          <w:rFonts w:ascii="Arial" w:cs="Arial" w:eastAsia="Arial" w:hAnsi="Arial"/>
          <w:color w:val="1A1A1A"/>
          <w:sz w:val="21"/>
          <w:szCs w:val="21"/>
        </w:rPr>
        <w:t xml:space="preserve">The custom lightweight markdown renderer in ProblemPage (DescriptionBlock/InlineText) avoids pulling in a heavy markdown library while still handling headings, lists, code fences, and inline emphasis correctly — and, notably, never uses dangerouslySetInnerHTML, so there's no obvious stored-XSS vector from problem content or AI output.</w:t>
      </w:r>
    </w:p>
    <w:p>
      <w:pPr>
        <w:pBdr>
          <w:bottom w:val="single" w:color="CCCCCC" w:sz="6" w:space="1"/>
        </w:pBdr>
        <w:spacing w:after="200" w:before="60"/>
      </w:pPr>
    </w:p>
    <w:p>
      <w:pPr>
        <w:pStyle w:val="Heading1"/>
      </w:pPr>
      <w:r>
        <w:rPr>
          <w:rFonts w:ascii="Arial" w:cs="Arial" w:eastAsia="Arial" w:hAnsi="Arial"/>
        </w:rPr>
        <w:t xml:space="preserve">UI/UX &amp; Accessibility Recommendations</w:t>
      </w:r>
    </w:p>
    <w:p>
      <w:pPr>
        <w:spacing w:after="160" w:before="0"/>
      </w:pPr>
      <w:r>
        <w:rPr>
          <w:rFonts w:ascii="Arial" w:cs="Arial" w:eastAsia="Arial" w:hAnsi="Arial"/>
          <w:b w:val="false"/>
          <w:bCs w:val="false"/>
          <w:i w:val="false"/>
          <w:iCs w:val="false"/>
          <w:color w:val="1A1A1A"/>
          <w:sz w:val="21"/>
          <w:szCs w:val="21"/>
        </w:rPr>
        <w:t xml:space="preserve">These are usability and polish recommendations distinct from the bug list above — none of them are broken today, but addressing them would materially improve how intuitive, accessible, and trustworthy the app feels.</w:t>
      </w:r>
    </w:p>
    <w:p>
      <w:pPr>
        <w:pStyle w:val="Heading2"/>
      </w:pPr>
      <w:r>
        <w:rPr>
          <w:rFonts w:ascii="Arial" w:cs="Arial" w:eastAsia="Arial" w:hAnsi="Arial"/>
        </w:rPr>
        <w:t xml:space="preserve">1. Make error and “service unavailable” states visually distinct from real content</w:t>
      </w:r>
    </w:p>
    <w:p>
      <w:pPr>
        <w:spacing w:after="160" w:before="0"/>
      </w:pPr>
      <w:r>
        <w:rPr>
          <w:rFonts w:ascii="Arial" w:cs="Arial" w:eastAsia="Arial" w:hAnsi="Arial"/>
          <w:b w:val="false"/>
          <w:bCs w:val="false"/>
          <w:i w:val="false"/>
          <w:iCs w:val="false"/>
          <w:color w:val="1A1A1A"/>
          <w:sz w:val="21"/>
          <w:szCs w:val="21"/>
        </w:rPr>
        <w:t xml:space="preserve">As detailed in the High-severity findings, both code-runner and AI failures currently render inside the same visual container used for successful results — same color, same typography, no icon change. Establish one consistent “this didn't work” visual pattern (a red-bordered Alert with a Retry button) and use it everywhere a backend call can fail: the run/submit verdict, AI hints, mistake explanations, code review, and the AI Insights panel.</w:t>
      </w:r>
    </w:p>
    <w:p>
      <w:pPr>
        <w:pStyle w:val="Heading2"/>
      </w:pPr>
      <w:r>
        <w:rPr>
          <w:rFonts w:ascii="Arial" w:cs="Arial" w:eastAsia="Arial" w:hAnsi="Arial"/>
        </w:rPr>
        <w:t xml:space="preserve">2. Design for narrower viewports</w:t>
      </w:r>
    </w:p>
    <w:p>
      <w:pPr>
        <w:spacing w:after="160" w:before="0"/>
      </w:pPr>
      <w:r>
        <w:rPr>
          <w:rFonts w:ascii="Arial" w:cs="Arial" w:eastAsia="Arial" w:hAnsi="Arial"/>
          <w:b w:val="false"/>
          <w:bCs w:val="false"/>
          <w:i w:val="false"/>
          <w:iCs w:val="false"/>
          <w:color w:val="1A1A1A"/>
          <w:sz w:val="21"/>
          <w:szCs w:val="21"/>
        </w:rPr>
        <w:t xml:space="preserve">Beyond the responsive-drawer fix already listed as a High finding, the problem-solving view in particular deserves a dedicated narrow-viewport layout: stack the description above the editor instead of side-by-side, collapse the test-case panel behind a toggle, and let the Monaco editor take the full width. Even if mobile code-editing is a secondary use case, a laptop with a narrower window (half-screen, external monitor in portrait, etc.) is a completely ordinary scenario this app currently doesn't handle.</w:t>
      </w:r>
    </w:p>
    <w:p>
      <w:pPr>
        <w:pStyle w:val="Heading2"/>
      </w:pPr>
      <w:r>
        <w:rPr>
          <w:rFonts w:ascii="Arial" w:cs="Arial" w:eastAsia="Arial" w:hAnsi="Arial"/>
        </w:rPr>
        <w:t xml:space="preserve">3. Surface the timer and make it harder to miss</w:t>
      </w:r>
    </w:p>
    <w:p>
      <w:pPr>
        <w:spacing w:after="160" w:before="0"/>
      </w:pPr>
      <w:r>
        <w:rPr>
          <w:rFonts w:ascii="Arial" w:cs="Arial" w:eastAsia="Arial" w:hAnsi="Arial"/>
          <w:b w:val="false"/>
          <w:bCs w:val="false"/>
          <w:i w:val="false"/>
          <w:iCs w:val="false"/>
          <w:color w:val="1A1A1A"/>
          <w:sz w:val="21"/>
          <w:szCs w:val="21"/>
        </w:rPr>
        <w:t xml:space="preserve">Pair the auto-start fix (Medium finding) with a small always-visible affordance — e.g. a pulsing dot on the timer chip the first time a user opens the editor — so people understand solve time is being tracked and can trust the analytics that get built from it.</w:t>
      </w:r>
    </w:p>
    <w:p>
      <w:pPr>
        <w:pStyle w:val="Heading2"/>
      </w:pPr>
      <w:r>
        <w:rPr>
          <w:rFonts w:ascii="Arial" w:cs="Arial" w:eastAsia="Arial" w:hAnsi="Arial"/>
        </w:rPr>
        <w:t xml:space="preserve">4. Make the shared/admin nature of Settings explicit</w:t>
      </w:r>
    </w:p>
    <w:p>
      <w:pPr>
        <w:spacing w:after="160" w:before="0"/>
      </w:pPr>
      <w:r>
        <w:rPr>
          <w:rFonts w:ascii="Arial" w:cs="Arial" w:eastAsia="Arial" w:hAnsi="Arial"/>
          <w:b w:val="false"/>
          <w:bCs w:val="false"/>
          <w:i w:val="false"/>
          <w:iCs w:val="false"/>
          <w:color w:val="1A1A1A"/>
          <w:sz w:val="21"/>
          <w:szCs w:val="21"/>
        </w:rPr>
        <w:t xml:space="preserve">Once the OpenAI key is correctly scoped to admins (High finding), the Settings page copy should say so plainly — e.g. “Only admins can manage the AI key; it's shared by everyone on this AlgoMaster instance.” Right now the page reads as if the key were personal to the signed-in user, which will confuse anyone who isn't the first/admin account.</w:t>
      </w:r>
    </w:p>
    <w:p>
      <w:pPr>
        <w:pStyle w:val="Heading2"/>
      </w:pPr>
      <w:r>
        <w:rPr>
          <w:rFonts w:ascii="Arial" w:cs="Arial" w:eastAsia="Arial" w:hAnsi="Arial"/>
        </w:rPr>
        <w:t xml:space="preserve">5. Accessibility pass on icon-only controls</w:t>
      </w:r>
    </w:p>
    <w:p>
      <w:pPr>
        <w:spacing w:after="160" w:before="0"/>
      </w:pPr>
      <w:r>
        <w:rPr>
          <w:rFonts w:ascii="Arial" w:cs="Arial" w:eastAsia="Arial" w:hAnsi="Arial"/>
          <w:b w:val="false"/>
          <w:bCs w:val="false"/>
          <w:i w:val="false"/>
          <w:iCs w:val="false"/>
          <w:color w:val="1A1A1A"/>
          <w:sz w:val="21"/>
          <w:szCs w:val="21"/>
        </w:rPr>
        <w:t xml:space="preserve">Most icon buttons throughout the app (star, open-in-new-tab, expand/collapse, logout) are wrapped in MUI Tooltip, which helps, but a few — notably the confidence-rating dots in ProblemPage and TrackerPage's ConfidenceDots — convey state through color alone (red/amber/green) with no text or pattern fallback, which is a problem for colorblind users. Recommend adding a numeric label or shape variation alongside color wherever a status is color-coded, and doing a pass with a screen reader (VoiceOver/NVDA) over the problem-solving flow specifically, since it's the highest-value screen in the app.</w:t>
      </w:r>
    </w:p>
    <w:p>
      <w:pPr>
        <w:pStyle w:val="Heading2"/>
      </w:pPr>
      <w:r>
        <w:rPr>
          <w:rFonts w:ascii="Arial" w:cs="Arial" w:eastAsia="Arial" w:hAnsi="Arial"/>
        </w:rPr>
        <w:t xml:space="preserve">6. Replace native browser dialogs</w:t>
      </w:r>
    </w:p>
    <w:p>
      <w:pPr>
        <w:spacing w:after="160" w:before="0"/>
      </w:pPr>
      <w:r>
        <w:rPr>
          <w:rFonts w:ascii="Arial" w:cs="Arial" w:eastAsia="Arial" w:hAnsi="Arial"/>
          <w:b w:val="false"/>
          <w:bCs w:val="false"/>
          <w:i w:val="false"/>
          <w:iCs w:val="false"/>
          <w:color w:val="1A1A1A"/>
          <w:sz w:val="21"/>
          <w:szCs w:val="21"/>
        </w:rPr>
        <w:t xml:space="preserve">The single window.confirm() call (reset code) should become an MUI Dialog for visual and keyboard-navigation consistency with the rest of the app — this is a quick win already listed as a Low finding but worth calling out here as a pattern to watch for going forward.</w:t>
      </w:r>
    </w:p>
    <w:p>
      <w:pPr>
        <w:pStyle w:val="Heading2"/>
      </w:pPr>
      <w:r>
        <w:rPr>
          <w:rFonts w:ascii="Arial" w:cs="Arial" w:eastAsia="Arial" w:hAnsi="Arial"/>
        </w:rPr>
        <w:t xml:space="preserve">7. Onboarding for first-time users</w:t>
      </w:r>
    </w:p>
    <w:p>
      <w:pPr>
        <w:spacing w:after="40" w:before="0"/>
      </w:pPr>
      <w:r>
        <w:rPr>
          <w:rFonts w:ascii="Arial" w:cs="Arial" w:eastAsia="Arial" w:hAnsi="Arial"/>
          <w:b w:val="false"/>
          <w:bCs w:val="false"/>
          <w:i w:val="false"/>
          <w:iCs w:val="false"/>
          <w:color w:val="1A1A1A"/>
          <w:sz w:val="21"/>
          <w:szCs w:val="21"/>
        </w:rPr>
        <w:t xml:space="preserve">There's currently no first-run tour or empty-state guidance beyond “First account created gets all existing progress data” on the registration form. A brief, dismissible walkthrough on first login — pointing at the timer, the Run/Submit distinction, and where AI hints live — would meaningfully shorten the time to “aha” for new users, especially given how many features (interview readiness, spaced repetition, AI coach) are not obvious from the tracker page alone.</w:t>
      </w:r>
    </w:p>
    <w:p>
      <w:pPr>
        <w:pBdr>
          <w:bottom w:val="single" w:color="CCCCCC" w:sz="6" w:space="1"/>
        </w:pBdr>
        <w:spacing w:after="200" w:before="60"/>
      </w:pPr>
    </w:p>
    <w:p>
      <w:pPr>
        <w:pStyle w:val="Heading1"/>
      </w:pPr>
      <w:r>
        <w:rPr>
          <w:rFonts w:ascii="Arial" w:cs="Arial" w:eastAsia="Arial" w:hAnsi="Arial"/>
        </w:rPr>
        <w:t xml:space="preserve">Suggested Roadmap</w:t>
      </w:r>
    </w:p>
    <w:p>
      <w:pPr>
        <w:spacing w:after="160" w:before="0"/>
      </w:pPr>
      <w:r>
        <w:rPr>
          <w:rFonts w:ascii="Arial" w:cs="Arial" w:eastAsia="Arial" w:hAnsi="Arial"/>
          <w:b w:val="false"/>
          <w:bCs w:val="false"/>
          <w:i w:val="false"/>
          <w:iCs w:val="false"/>
          <w:color w:val="1A1A1A"/>
          <w:sz w:val="21"/>
          <w:szCs w:val="21"/>
        </w:rPr>
        <w:t xml:space="preserve">A practical sequencing for addressing the findings above, grouped into four passes:</w:t>
      </w:r>
    </w:p>
    <w:p>
      <w:pPr>
        <w:pStyle w:val="Heading2"/>
      </w:pPr>
      <w:r>
        <w:rPr>
          <w:rFonts w:ascii="Arial" w:cs="Arial" w:eastAsia="Arial" w:hAnsi="Arial"/>
        </w:rPr>
        <w:t xml:space="preserve">Pass 1 — Trust &amp; Integrity (this week)</w:t>
      </w:r>
    </w:p>
    <w:p>
      <w:pPr>
        <w:pStyle w:val="ListParagraph"/>
        <w:numPr>
          <w:ilvl w:val="0"/>
          <w:numId w:val="2"/>
        </w:numPr>
        <w:spacing w:after="80"/>
      </w:pPr>
      <w:r>
        <w:rPr>
          <w:rFonts w:ascii="Arial" w:cs="Arial" w:eastAsia="Arial" w:hAnsi="Arial"/>
          <w:color w:val="1A1A1A"/>
          <w:sz w:val="21"/>
          <w:szCs w:val="21"/>
        </w:rPr>
        <w:t xml:space="preserve">Fix the grading-bypass vulnerability (Critical #1).</w:t>
      </w:r>
    </w:p>
    <w:p>
      <w:pPr>
        <w:pStyle w:val="ListParagraph"/>
        <w:numPr>
          <w:ilvl w:val="0"/>
          <w:numId w:val="2"/>
        </w:numPr>
        <w:spacing w:after="80"/>
      </w:pPr>
      <w:r>
        <w:rPr>
          <w:rFonts w:ascii="Arial" w:cs="Arial" w:eastAsia="Arial" w:hAnsi="Arial"/>
          <w:color w:val="1A1A1A"/>
          <w:sz w:val="21"/>
          <w:szCs w:val="21"/>
        </w:rPr>
        <w:t xml:space="preserve">Stop shipping hidden test-case answers to the client (Critical #2).</w:t>
      </w:r>
    </w:p>
    <w:p>
      <w:pPr>
        <w:pStyle w:val="ListParagraph"/>
        <w:numPr>
          <w:ilvl w:val="0"/>
          <w:numId w:val="2"/>
        </w:numPr>
        <w:spacing w:after="80"/>
      </w:pPr>
      <w:r>
        <w:rPr>
          <w:rFonts w:ascii="Arial" w:cs="Arial" w:eastAsia="Arial" w:hAnsi="Arial"/>
          <w:color w:val="1A1A1A"/>
          <w:sz w:val="21"/>
          <w:szCs w:val="21"/>
        </w:rPr>
        <w:t xml:space="preserve">Gate the OpenAI key endpoints behind require_admin and add a rate limit to /ai/insight (High #3, #4).</w:t>
      </w:r>
    </w:p>
    <w:p>
      <w:pPr>
        <w:pStyle w:val="Heading2"/>
      </w:pPr>
      <w:r>
        <w:rPr>
          <w:rFonts w:ascii="Arial" w:cs="Arial" w:eastAsia="Arial" w:hAnsi="Arial"/>
        </w:rPr>
        <w:t xml:space="preserve">Pass 2 — Reliability &amp; Data Quality (next)</w:t>
      </w:r>
    </w:p>
    <w:p>
      <w:pPr>
        <w:pStyle w:val="ListParagraph"/>
        <w:numPr>
          <w:ilvl w:val="0"/>
          <w:numId w:val="2"/>
        </w:numPr>
        <w:spacing w:after="80"/>
      </w:pPr>
      <w:r>
        <w:rPr>
          <w:rFonts w:ascii="Arial" w:cs="Arial" w:eastAsia="Arial" w:hAnsi="Arial"/>
          <w:color w:val="1A1A1A"/>
          <w:sz w:val="21"/>
          <w:szCs w:val="21"/>
        </w:rPr>
        <w:t xml:space="preserve">Distinguish infrastructure failures from real wrong answers / AI failures in both API responses and UI (High #5, #6).</w:t>
      </w:r>
    </w:p>
    <w:p>
      <w:pPr>
        <w:pStyle w:val="ListParagraph"/>
        <w:numPr>
          <w:ilvl w:val="0"/>
          <w:numId w:val="2"/>
        </w:numPr>
        <w:spacing w:after="80"/>
      </w:pPr>
      <w:r>
        <w:rPr>
          <w:rFonts w:ascii="Arial" w:cs="Arial" w:eastAsia="Arial" w:hAnsi="Arial"/>
          <w:color w:val="1A1A1A"/>
          <w:sz w:val="21"/>
          <w:szCs w:val="21"/>
        </w:rPr>
        <w:t xml:space="preserve">Fix the streak off-by-one and the legacy-data claim gap for interview tables (Medium).</w:t>
      </w:r>
    </w:p>
    <w:p>
      <w:pPr>
        <w:pStyle w:val="ListParagraph"/>
        <w:numPr>
          <w:ilvl w:val="0"/>
          <w:numId w:val="2"/>
        </w:numPr>
        <w:spacing w:after="80"/>
      </w:pPr>
      <w:r>
        <w:rPr>
          <w:rFonts w:ascii="Arial" w:cs="Arial" w:eastAsia="Arial" w:hAnsi="Arial"/>
          <w:color w:val="1A1A1A"/>
          <w:sz w:val="21"/>
          <w:szCs w:val="21"/>
        </w:rPr>
        <w:t xml:space="preserve">Auto-start (or clearly surface) the solve timer.</w:t>
      </w:r>
    </w:p>
    <w:p>
      <w:pPr>
        <w:pStyle w:val="Heading2"/>
      </w:pPr>
      <w:r>
        <w:rPr>
          <w:rFonts w:ascii="Arial" w:cs="Arial" w:eastAsia="Arial" w:hAnsi="Arial"/>
        </w:rPr>
        <w:t xml:space="preserve">Pass 3 — Architecture Cleanup</w:t>
      </w:r>
    </w:p>
    <w:p>
      <w:pPr>
        <w:pStyle w:val="ListParagraph"/>
        <w:numPr>
          <w:ilvl w:val="0"/>
          <w:numId w:val="2"/>
        </w:numPr>
        <w:spacing w:after="80"/>
      </w:pPr>
      <w:r>
        <w:rPr>
          <w:rFonts w:ascii="Arial" w:cs="Arial" w:eastAsia="Arial" w:hAnsi="Arial"/>
          <w:color w:val="1A1A1A"/>
          <w:sz w:val="21"/>
          <w:szCs w:val="21"/>
        </w:rPr>
        <w:t xml:space="preserve">Consolidate the three migration mechanisms into a single Alembic-driven flow (High #7).</w:t>
      </w:r>
    </w:p>
    <w:p>
      <w:pPr>
        <w:pStyle w:val="ListParagraph"/>
        <w:numPr>
          <w:ilvl w:val="0"/>
          <w:numId w:val="2"/>
        </w:numPr>
        <w:spacing w:after="80"/>
      </w:pPr>
      <w:r>
        <w:rPr>
          <w:rFonts w:ascii="Arial" w:cs="Arial" w:eastAsia="Arial" w:hAnsi="Arial"/>
          <w:color w:val="1A1A1A"/>
          <w:sz w:val="21"/>
          <w:szCs w:val="21"/>
        </w:rPr>
        <w:t xml:space="preserve">Stand up a real production build/Dockerfile for the frontend and stop bind-mounting source in the documented Compose file (Medium).</w:t>
      </w:r>
    </w:p>
    <w:p>
      <w:pPr>
        <w:pStyle w:val="ListParagraph"/>
        <w:numPr>
          <w:ilvl w:val="0"/>
          <w:numId w:val="2"/>
        </w:numPr>
        <w:spacing w:after="80"/>
      </w:pPr>
      <w:r>
        <w:rPr>
          <w:rFonts w:ascii="Arial" w:cs="Arial" w:eastAsia="Arial" w:hAnsi="Arial"/>
          <w:color w:val="1A1A1A"/>
          <w:sz w:val="21"/>
          <w:szCs w:val="21"/>
        </w:rPr>
        <w:t xml:space="preserve">Remove Postgres's host port mapping and rotate the default password (High #8).</w:t>
      </w:r>
    </w:p>
    <w:p>
      <w:pPr>
        <w:pStyle w:val="Heading2"/>
      </w:pPr>
      <w:r>
        <w:rPr>
          <w:rFonts w:ascii="Arial" w:cs="Arial" w:eastAsia="Arial" w:hAnsi="Arial"/>
        </w:rPr>
        <w:t xml:space="preserve">Pass 4 — UX Polish &amp; Housekeeping</w:t>
      </w:r>
    </w:p>
    <w:p>
      <w:pPr>
        <w:pStyle w:val="ListParagraph"/>
        <w:numPr>
          <w:ilvl w:val="0"/>
          <w:numId w:val="2"/>
        </w:numPr>
        <w:spacing w:after="80"/>
      </w:pPr>
      <w:r>
        <w:rPr>
          <w:rFonts w:ascii="Arial" w:cs="Arial" w:eastAsia="Arial" w:hAnsi="Arial"/>
          <w:color w:val="1A1A1A"/>
          <w:sz w:val="21"/>
          <w:szCs w:val="21"/>
        </w:rPr>
        <w:t xml:space="preserve">Responsive layout for the sidebar and the problem-solving split view.</w:t>
      </w:r>
    </w:p>
    <w:p>
      <w:pPr>
        <w:pStyle w:val="ListParagraph"/>
        <w:numPr>
          <w:ilvl w:val="0"/>
          <w:numId w:val="2"/>
        </w:numPr>
        <w:spacing w:after="80"/>
      </w:pPr>
      <w:r>
        <w:rPr>
          <w:rFonts w:ascii="Arial" w:cs="Arial" w:eastAsia="Arial" w:hAnsi="Arial"/>
          <w:color w:val="1A1A1A"/>
          <w:sz w:val="21"/>
          <w:szCs w:val="21"/>
        </w:rPr>
        <w:t xml:space="preserve">Error-state visual language, onboarding tour, accessibility pass on color-only indicators.</w:t>
      </w:r>
    </w:p>
    <w:p>
      <w:pPr>
        <w:pStyle w:val="ListParagraph"/>
        <w:numPr>
          <w:ilvl w:val="0"/>
          <w:numId w:val="2"/>
        </w:numPr>
        <w:spacing w:after="80"/>
      </w:pPr>
      <w:r>
        <w:rPr>
          <w:rFonts w:ascii="Arial" w:cs="Arial" w:eastAsia="Arial" w:hAnsi="Arial"/>
          <w:color w:val="1A1A1A"/>
          <w:sz w:val="21"/>
          <w:szCs w:val="21"/>
        </w:rPr>
        <w:t xml:space="preserve">Delete backend/static/, the unused daily_stats aggregate, dead code, and document the Interview Readiness feature in README.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55555"/>
        <w:sz w:val="16"/>
        <w:szCs w:val="16"/>
      </w:rPr>
      <w:t xml:space="preserve">AlgoMaster — Application Audit</w:t>
    </w:r>
    <w:r>
      <w:rPr>
        <w:rFonts w:ascii="Arial" w:cs="Arial" w:eastAsia="Arial" w:hAnsi="Arial"/>
        <w:color w:val="555555"/>
        <w:sz w:val="16"/>
        <w:szCs w:val="16"/>
      </w:rPr>
      <w:t xml:space="preserve">	July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AA0" w:sz="6" w:space="4"/>
      </w:pBd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C5AA0"/>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2026-07-02T04:07:04.819Z</dcterms:created>
  <dcterms:modified xsi:type="dcterms:W3CDTF">2026-07-02T04:07:04.820Z</dcterms:modified>
</cp:coreProperties>
</file>

<file path=docProps/custom.xml><?xml version="1.0" encoding="utf-8"?>
<Properties xmlns="http://schemas.openxmlformats.org/officeDocument/2006/custom-properties" xmlns:vt="http://schemas.openxmlformats.org/officeDocument/2006/docPropsVTypes"/>
</file>