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Engine Monitoring Project</w:t>
        <w:br/>
        <w:t>Technical Architecture, Data, Models and Research Basis</w:t>
      </w:r>
    </w:p>
    <w:p>
      <w:r>
        <w:t>Repository audit and implementation report | 19 October 2026</w:t>
      </w:r>
    </w:p>
    <w:p>
      <w:r>
        <w:t>Scope: C:\Users\TL012345\Desktop\Engine_Monitoring</w:t>
      </w:r>
    </w:p>
    <w:p>
      <w:pPr>
        <w:pStyle w:val="Heading1"/>
      </w:pPr>
      <w:r>
        <w:t>Executive summary</w:t>
      </w:r>
    </w:p>
    <w:p>
      <w:r>
        <w:t>This is a three-service predictive-monitoring application for simulated mining haul-truck engines. A React dashboard receives a live stream from a Node.js backend. Node simulates telemetry, keeps a rolling 30-reading buffer, calls a Flask ML service, creates alerts, optionally persists to PostgreSQL, and broadcasts readings and predictions over Socket.IO. Flask loads a serialized Isolation Forest anomaly detector and serves component-level remaining-useful-life (RUL) predictions.</w:t>
      </w:r>
    </w:p>
    <w:p>
      <w:r>
        <w:t>The anomaly model is unsupervised during fitting: Isolation Forest sees training windows without anomaly labels. Labels are used only to tune the validation threshold and evaluate a held-out test set. The RUL subsystem is separate: five RandomForestRegressor models, one per component.</w:t>
      </w:r>
    </w:p>
    <w:p>
      <w:r>
        <w:t>The three supplied papers support the engineering rationale—telemetry, oil/condition indicators, payload, speed, resistance, time windows, condition-based maintenance and early warnings—but the repository contains no PDF parser, extracted-paper table or traceable field-data import. The implemented datasets are synthetic CSVs and generated feature tables.</w:t>
      </w:r>
    </w:p>
    <w:p>
      <w:pPr>
        <w:pStyle w:val="Heading1"/>
      </w:pPr>
      <w:r>
        <w:t>1. Architecture and runtime flow</w:t>
      </w:r>
    </w:p>
    <w:tbl>
      <w:tblPr>
        <w:tblStyle w:val="LightGrid-Accent1"/>
        <w:tblW w:type="auto" w:w="0"/>
        <w:tblLook w:firstColumn="1" w:firstRow="1" w:lastColumn="0" w:lastRow="0" w:noHBand="0" w:noVBand="1" w:val="04A0"/>
      </w:tblPr>
      <w:tblGrid>
        <w:gridCol w:w="2880"/>
        <w:gridCol w:w="2880"/>
        <w:gridCol w:w="2880"/>
      </w:tblGrid>
      <w:tr>
        <w:tc>
          <w:tcPr>
            <w:tcW w:type="dxa" w:w="2880"/>
            <w:shd w:fill="D9EAF7"/>
          </w:tcPr>
          <w:p>
            <w:r>
              <w:t>Layer</w:t>
            </w:r>
          </w:p>
        </w:tc>
        <w:tc>
          <w:tcPr>
            <w:tcW w:type="dxa" w:w="2880"/>
            <w:shd w:fill="D9EAF7"/>
          </w:tcPr>
          <w:p>
            <w:r>
              <w:t>Files</w:t>
            </w:r>
          </w:p>
        </w:tc>
        <w:tc>
          <w:tcPr>
            <w:tcW w:type="dxa" w:w="2880"/>
            <w:shd w:fill="D9EAF7"/>
          </w:tcPr>
          <w:p>
            <w:r>
              <w:t>Responsibility</w:t>
            </w:r>
          </w:p>
        </w:tc>
      </w:tr>
      <w:tr>
        <w:tc>
          <w:tcPr>
            <w:tcW w:type="dxa" w:w="2880"/>
          </w:tcPr>
          <w:p>
            <w:r>
              <w:t>Dashboard</w:t>
            </w:r>
          </w:p>
        </w:tc>
        <w:tc>
          <w:tcPr>
            <w:tcW w:type="dxa" w:w="2880"/>
          </w:tcPr>
          <w:p>
            <w:r>
              <w:t>dashboard/src/*</w:t>
            </w:r>
          </w:p>
        </w:tc>
        <w:tc>
          <w:tcPr>
            <w:tcW w:type="dxa" w:w="2880"/>
          </w:tcPr>
          <w:p>
            <w:r>
              <w:t>React UI: fleet, truck detail, sensors, alerts, anomaly injection, RUL and CSV export.</w:t>
            </w:r>
          </w:p>
        </w:tc>
      </w:tr>
      <w:tr>
        <w:tc>
          <w:tcPr>
            <w:tcW w:type="dxa" w:w="2880"/>
          </w:tcPr>
          <w:p>
            <w:r>
              <w:t>Backend</w:t>
            </w:r>
          </w:p>
        </w:tc>
        <w:tc>
          <w:tcPr>
            <w:tcW w:type="dxa" w:w="2880"/>
          </w:tcPr>
          <w:p>
            <w:r>
              <w:t>backend/server.js; routes/*; services/*</w:t>
            </w:r>
          </w:p>
        </w:tc>
        <w:tc>
          <w:tcPr>
            <w:tcW w:type="dxa" w:w="2880"/>
          </w:tcPr>
          <w:p>
            <w:r>
              <w:t>Express API, simulator, alert lifecycle, optional PostgreSQL and Flask proxy.</w:t>
            </w:r>
          </w:p>
        </w:tc>
      </w:tr>
      <w:tr>
        <w:tc>
          <w:tcPr>
            <w:tcW w:type="dxa" w:w="2880"/>
          </w:tcPr>
          <w:p>
            <w:r>
              <w:t>Streaming</w:t>
            </w:r>
          </w:p>
        </w:tc>
        <w:tc>
          <w:tcPr>
            <w:tcW w:type="dxa" w:w="2880"/>
          </w:tcPr>
          <w:p>
            <w:r>
              <w:t>backend/websocket/liveStream.js; simulatorService.js</w:t>
            </w:r>
          </w:p>
        </w:tc>
        <w:tc>
          <w:tcPr>
            <w:tcW w:type="dxa" w:w="2880"/>
          </w:tcPr>
          <w:p>
            <w:r>
              <w:t>Socket.IO and periodic telemetry/prediction events.</w:t>
            </w:r>
          </w:p>
        </w:tc>
      </w:tr>
      <w:tr>
        <w:tc>
          <w:tcPr>
            <w:tcW w:type="dxa" w:w="2880"/>
          </w:tcPr>
          <w:p>
            <w:r>
              <w:t>ML service</w:t>
            </w:r>
          </w:p>
        </w:tc>
        <w:tc>
          <w:tcPr>
            <w:tcW w:type="dxa" w:w="2880"/>
          </w:tcPr>
          <w:p>
            <w:r>
              <w:t>python_service/predictor.py</w:t>
            </w:r>
          </w:p>
        </w:tc>
        <w:tc>
          <w:tcPr>
            <w:tcW w:type="dxa" w:w="2880"/>
          </w:tcPr>
          <w:p>
            <w:r>
              <w:t>Loads artifacts, builds features, scores anomalies and serves RUL.</w:t>
            </w:r>
          </w:p>
        </w:tc>
      </w:tr>
      <w:tr>
        <w:tc>
          <w:tcPr>
            <w:tcW w:type="dxa" w:w="2880"/>
          </w:tcPr>
          <w:p>
            <w:r>
              <w:t>Training</w:t>
            </w:r>
          </w:p>
        </w:tc>
        <w:tc>
          <w:tcPr>
            <w:tcW w:type="dxa" w:w="2880"/>
          </w:tcPr>
          <w:p>
            <w:r>
              <w:t>training/train_models.py; python_service/models/component_rul.py</w:t>
            </w:r>
          </w:p>
        </w:tc>
        <w:tc>
          <w:tcPr>
            <w:tcW w:type="dxa" w:w="2880"/>
          </w:tcPr>
          <w:p>
            <w:r>
              <w:t>Windows, training, evaluation, serialization.</w:t>
            </w:r>
          </w:p>
        </w:tc>
      </w:tr>
      <w:tr>
        <w:tc>
          <w:tcPr>
            <w:tcW w:type="dxa" w:w="2880"/>
          </w:tcPr>
          <w:p>
            <w:r>
              <w:t>Data/artifacts</w:t>
            </w:r>
          </w:p>
        </w:tc>
        <w:tc>
          <w:tcPr>
            <w:tcW w:type="dxa" w:w="2880"/>
          </w:tcPr>
          <w:p>
            <w:r>
              <w:t>data/*; saved_models/*</w:t>
            </w:r>
          </w:p>
        </w:tc>
        <w:tc>
          <w:tcPr>
            <w:tcW w:type="dxa" w:w="2880"/>
          </w:tcPr>
          <w:p>
            <w:r>
              <w:t>Synthetic data, metrics, models, feature order and metadata.</w:t>
            </w:r>
          </w:p>
        </w:tc>
      </w:tr>
      <w:tr>
        <w:tc>
          <w:tcPr>
            <w:tcW w:type="dxa" w:w="2880"/>
          </w:tcPr>
          <w:p>
            <w:r>
              <w:t>Deployment</w:t>
            </w:r>
          </w:p>
        </w:tc>
        <w:tc>
          <w:tcPr>
            <w:tcW w:type="dxa" w:w="2880"/>
          </w:tcPr>
          <w:p>
            <w:r>
              <w:t>docker-compose.yml; Dockerfile.*; nginx.conf</w:t>
            </w:r>
          </w:p>
        </w:tc>
        <w:tc>
          <w:tcPr>
            <w:tcW w:type="dxa" w:w="2880"/>
          </w:tcPr>
          <w:p>
            <w:r>
              <w:t>Flask, Node and Nginx containers.</w:t>
            </w:r>
          </w:p>
        </w:tc>
      </w:tr>
    </w:tbl>
    <w:p>
      <w:pPr>
        <w:pStyle w:val="ListBullet"/>
      </w:pPr>
      <w:r>
        <w:t>Node emits one reading per engine at the simulator interval.</w:t>
      </w:r>
    </w:p>
    <w:p>
      <w:pPr>
        <w:pStyle w:val="ListBullet"/>
      </w:pPr>
      <w:r>
        <w:t>Readings enter an engine-local rolling buffer and may be stored in PostgreSQL.</w:t>
      </w:r>
    </w:p>
    <w:p>
      <w:pPr>
        <w:pStyle w:val="ListBullet"/>
      </w:pPr>
      <w:r>
        <w:t>After 30 readings, Node POSTs the buffer to Flask /predict; the buffer then advances by one reading.</w:t>
      </w:r>
    </w:p>
    <w:p>
      <w:pPr>
        <w:pStyle w:val="ListBullet"/>
      </w:pPr>
      <w:r>
        <w:t>Flask calculates the training features, scales them, calls IsolationForest.score_samples() and returns a decision.</w:t>
      </w:r>
    </w:p>
    <w:p>
      <w:pPr>
        <w:pStyle w:val="ListBullet"/>
      </w:pPr>
      <w:r>
        <w:t>Node applies hard sensor-limit overrides, severity rules and alert deduplication, then emits Socket.IO events.</w:t>
      </w:r>
    </w:p>
    <w:p>
      <w:pPr>
        <w:pStyle w:val="ListBullet"/>
      </w:pPr>
      <w:r>
        <w:t>The dashboard renders the event stream. Component RUL is requested separately.</w:t>
      </w:r>
    </w:p>
    <w:p>
      <w:pPr>
        <w:pStyle w:val="Heading1"/>
      </w:pPr>
      <w:r>
        <w:t>2. File-by-file guide</w:t>
      </w:r>
    </w:p>
    <w:tbl>
      <w:tblPr>
        <w:tblStyle w:val="LightGrid-Accent1"/>
        <w:tblW w:type="auto" w:w="0"/>
        <w:tblLook w:firstColumn="1" w:firstRow="1" w:lastColumn="0" w:lastRow="0" w:noHBand="0" w:noVBand="1" w:val="04A0"/>
      </w:tblPr>
      <w:tblGrid>
        <w:gridCol w:w="4320"/>
        <w:gridCol w:w="4320"/>
      </w:tblGrid>
      <w:tr>
        <w:tc>
          <w:tcPr>
            <w:tcW w:type="dxa" w:w="4320"/>
            <w:shd w:fill="D9EAF7"/>
          </w:tcPr>
          <w:p>
            <w:r>
              <w:t>File/folder</w:t>
            </w:r>
          </w:p>
        </w:tc>
        <w:tc>
          <w:tcPr>
            <w:tcW w:type="dxa" w:w="4320"/>
            <w:shd w:fill="D9EAF7"/>
          </w:tcPr>
          <w:p>
            <w:r>
              <w:t>Purpose</w:t>
            </w:r>
          </w:p>
        </w:tc>
      </w:tr>
      <w:tr>
        <w:tc>
          <w:tcPr>
            <w:tcW w:type="dxa" w:w="4320"/>
          </w:tcPr>
          <w:p>
            <w:r>
              <w:t>Dockerfile.flask</w:t>
            </w:r>
          </w:p>
        </w:tc>
        <w:tc>
          <w:tcPr>
            <w:tcW w:type="dxa" w:w="4320"/>
          </w:tcPr>
          <w:p>
            <w:r>
              <w:t>Python 3.11 image; installs Flask, flask-cors, numpy, pandas, scikit-learn, joblib and scipy; runs predictor.py.</w:t>
            </w:r>
          </w:p>
        </w:tc>
      </w:tr>
      <w:tr>
        <w:tc>
          <w:tcPr>
            <w:tcW w:type="dxa" w:w="4320"/>
          </w:tcPr>
          <w:p>
            <w:r>
              <w:t>Dockerfile.node</w:t>
            </w:r>
          </w:p>
        </w:tc>
        <w:tc>
          <w:tcPr>
            <w:tcW w:type="dxa" w:w="4320"/>
          </w:tcPr>
          <w:p>
            <w:r>
              <w:t>Node runtime image for the backend.</w:t>
            </w:r>
          </w:p>
        </w:tc>
      </w:tr>
      <w:tr>
        <w:tc>
          <w:tcPr>
            <w:tcW w:type="dxa" w:w="4320"/>
          </w:tcPr>
          <w:p>
            <w:r>
              <w:t>docker-compose.yml</w:t>
            </w:r>
          </w:p>
        </w:tc>
        <w:tc>
          <w:tcPr>
            <w:tcW w:type="dxa" w:w="4320"/>
          </w:tcPr>
          <w:p>
            <w:r>
              <w:t>Flask port 5001, Node port 3000, dashboard port 8080; Flask health dependency and shared network.</w:t>
            </w:r>
          </w:p>
        </w:tc>
      </w:tr>
      <w:tr>
        <w:tc>
          <w:tcPr>
            <w:tcW w:type="dxa" w:w="4320"/>
          </w:tcPr>
          <w:p>
            <w:r>
              <w:t>nginx.conf</w:t>
            </w:r>
          </w:p>
        </w:tc>
        <w:tc>
          <w:tcPr>
            <w:tcW w:type="dxa" w:w="4320"/>
          </w:tcPr>
          <w:p>
            <w:r>
              <w:t>Serves dashboard/dist and proxies API/WebSocket traffic.</w:t>
            </w:r>
          </w:p>
        </w:tc>
      </w:tr>
      <w:tr>
        <w:tc>
          <w:tcPr>
            <w:tcW w:type="dxa" w:w="4320"/>
          </w:tcPr>
          <w:p>
            <w:r>
              <w:t>requirements.txt</w:t>
            </w:r>
          </w:p>
        </w:tc>
        <w:tc>
          <w:tcPr>
            <w:tcW w:type="dxa" w:w="4320"/>
          </w:tcPr>
          <w:p>
            <w:r>
              <w:t>Python packages; versions are not pinned despite the warning that joblib/scikit-learn versions must match.</w:t>
            </w:r>
          </w:p>
        </w:tc>
      </w:tr>
      <w:tr>
        <w:tc>
          <w:tcPr>
            <w:tcW w:type="dxa" w:w="4320"/>
          </w:tcPr>
          <w:p>
            <w:r>
              <w:t>training/train_models.py</w:t>
            </w:r>
          </w:p>
        </w:tc>
        <w:tc>
          <w:tcPr>
            <w:tcW w:type="dxa" w:w="4320"/>
          </w:tcPr>
          <w:p>
            <w:r>
              <w:t>Isolation Forest search/evaluation and RUL training dispatcher.</w:t>
            </w:r>
          </w:p>
        </w:tc>
      </w:tr>
      <w:tr>
        <w:tc>
          <w:tcPr>
            <w:tcW w:type="dxa" w:w="4320"/>
          </w:tcPr>
          <w:p>
            <w:r>
              <w:t>python_service/data/synthetic_anomaly_pipeline.py</w:t>
            </w:r>
          </w:p>
        </w:tc>
        <w:tc>
          <w:tcPr>
            <w:tcW w:type="dxa" w:w="4320"/>
          </w:tcPr>
          <w:p>
            <w:r>
              <w:t>Validates anomaly CSV, enforces one split per engine and builds windows/features.</w:t>
            </w:r>
          </w:p>
        </w:tc>
      </w:tr>
      <w:tr>
        <w:tc>
          <w:tcPr>
            <w:tcW w:type="dxa" w:w="4320"/>
          </w:tcPr>
          <w:p>
            <w:r>
              <w:t>python_service/data/feature_engineer.py</w:t>
            </w:r>
          </w:p>
        </w:tc>
        <w:tc>
          <w:tcPr>
            <w:tcW w:type="dxa" w:w="4320"/>
          </w:tcPr>
          <w:p>
            <w:r>
              <w:t>General ziya07 and CMAPSS window features; not the live synthetic anomaly path.</w:t>
            </w:r>
          </w:p>
        </w:tc>
      </w:tr>
      <w:tr>
        <w:tc>
          <w:tcPr>
            <w:tcW w:type="dxa" w:w="4320"/>
          </w:tcPr>
          <w:p>
            <w:r>
              <w:t>python_service/data/preprocessor.py</w:t>
            </w:r>
          </w:p>
        </w:tc>
        <w:tc>
          <w:tcPr>
            <w:tcW w:type="dxa" w:w="4320"/>
          </w:tcPr>
          <w:p>
            <w:r>
              <w:t>Load/clean helpers for ziya07 and CMAPSS.</w:t>
            </w:r>
          </w:p>
        </w:tc>
      </w:tr>
      <w:tr>
        <w:tc>
          <w:tcPr>
            <w:tcW w:type="dxa" w:w="4320"/>
          </w:tcPr>
          <w:p>
            <w:r>
              <w:t>python_service/data/synthetic_anomalies.py</w:t>
            </w:r>
          </w:p>
        </w:tc>
        <w:tc>
          <w:tcPr>
            <w:tcW w:type="dxa" w:w="4320"/>
          </w:tcPr>
          <w:p>
            <w:r>
              <w:t>Synthetic anomaly generation utilities.</w:t>
            </w:r>
          </w:p>
        </w:tc>
      </w:tr>
      <w:tr>
        <w:tc>
          <w:tcPr>
            <w:tcW w:type="dxa" w:w="4320"/>
          </w:tcPr>
          <w:p>
            <w:r>
              <w:t>python_service/models/component_rul.py</w:t>
            </w:r>
          </w:p>
        </w:tc>
        <w:tc>
          <w:tcPr>
            <w:tcW w:type="dxa" w:w="4320"/>
          </w:tcPr>
          <w:p>
            <w:r>
              <w:t>Six-record features and five HistGradientBoostingRegressor models with lazy caching.</w:t>
            </w:r>
          </w:p>
        </w:tc>
      </w:tr>
      <w:tr>
        <w:tc>
          <w:tcPr>
            <w:tcW w:type="dxa" w:w="4320"/>
          </w:tcPr>
          <w:p>
            <w:r>
              <w:t>python_service/predictor.py</w:t>
            </w:r>
          </w:p>
        </w:tc>
        <w:tc>
          <w:tcPr>
            <w:tcW w:type="dxa" w:w="4320"/>
          </w:tcPr>
          <w:p>
            <w:r>
              <w:t>Flask /health, /model-info, /predict and /predict_component_rul endpoints.</w:t>
            </w:r>
          </w:p>
        </w:tc>
      </w:tr>
      <w:tr>
        <w:tc>
          <w:tcPr>
            <w:tcW w:type="dxa" w:w="4320"/>
          </w:tcPr>
          <w:p>
            <w:r>
              <w:t>backend/server.js</w:t>
            </w:r>
          </w:p>
        </w:tc>
        <w:tc>
          <w:tcPr>
            <w:tcW w:type="dxa" w:w="4320"/>
          </w:tcPr>
          <w:p>
            <w:r>
              <w:t>Express/Socket.IO startup, routes, Flask URL and simulator startup.</w:t>
            </w:r>
          </w:p>
        </w:tc>
      </w:tr>
      <w:tr>
        <w:tc>
          <w:tcPr>
            <w:tcW w:type="dxa" w:w="4320"/>
          </w:tcPr>
          <w:p>
            <w:r>
              <w:t>backend/services/simulatorService.js</w:t>
            </w:r>
          </w:p>
        </w:tc>
        <w:tc>
          <w:tcPr>
            <w:tcW w:type="dxa" w:w="4320"/>
          </w:tcPr>
          <w:p>
            <w:r>
              <w:t>Telemetry playback, buffers, Flask calls, limits, persistence and events.</w:t>
            </w:r>
          </w:p>
        </w:tc>
      </w:tr>
      <w:tr>
        <w:tc>
          <w:tcPr>
            <w:tcW w:type="dxa" w:w="4320"/>
          </w:tcPr>
          <w:p>
            <w:r>
              <w:t>backend/services/alertService.js</w:t>
            </w:r>
          </w:p>
        </w:tc>
        <w:tc>
          <w:tcPr>
            <w:tcW w:type="dxa" w:w="4320"/>
          </w:tcPr>
          <w:p>
            <w:r>
              <w:t>Creates, groups, updates and acknowledges alerts.</w:t>
            </w:r>
          </w:p>
        </w:tc>
      </w:tr>
      <w:tr>
        <w:tc>
          <w:tcPr>
            <w:tcW w:type="dxa" w:w="4320"/>
          </w:tcPr>
          <w:p>
            <w:r>
              <w:t>backend/services/databaseService.js</w:t>
            </w:r>
          </w:p>
        </w:tc>
        <w:tc>
          <w:tcPr>
            <w:tcW w:type="dxa" w:w="4320"/>
          </w:tcPr>
          <w:p>
            <w:r>
              <w:t>PostgreSQL persistence.</w:t>
            </w:r>
          </w:p>
        </w:tc>
      </w:tr>
      <w:tr>
        <w:tc>
          <w:tcPr>
            <w:tcW w:type="dxa" w:w="4320"/>
          </w:tcPr>
          <w:p>
            <w:r>
              <w:t>backend/routes/fleet.js</w:t>
            </w:r>
          </w:p>
        </w:tc>
        <w:tc>
          <w:tcPr>
            <w:tcW w:type="dxa" w:w="4320"/>
          </w:tcPr>
          <w:p>
            <w:r>
              <w:t>Fleet and engine status.</w:t>
            </w:r>
          </w:p>
        </w:tc>
      </w:tr>
      <w:tr>
        <w:tc>
          <w:tcPr>
            <w:tcW w:type="dxa" w:w="4320"/>
          </w:tcPr>
          <w:p>
            <w:r>
              <w:t>backend/routes/alerts.js</w:t>
            </w:r>
          </w:p>
        </w:tc>
        <w:tc>
          <w:tcPr>
            <w:tcW w:type="dxa" w:w="4320"/>
          </w:tcPr>
          <w:p>
            <w:r>
              <w:t>Alert list and acknowledgement.</w:t>
            </w:r>
          </w:p>
        </w:tc>
      </w:tr>
      <w:tr>
        <w:tc>
          <w:tcPr>
            <w:tcW w:type="dxa" w:w="4320"/>
          </w:tcPr>
          <w:p>
            <w:r>
              <w:t>backend/routes/inject.js</w:t>
            </w:r>
          </w:p>
        </w:tc>
        <w:tc>
          <w:tcPr>
            <w:tcW w:type="dxa" w:w="4320"/>
          </w:tcPr>
          <w:p>
            <w:r>
              <w:t>Manual anomaly injection.</w:t>
            </w:r>
          </w:p>
        </w:tc>
      </w:tr>
      <w:tr>
        <w:tc>
          <w:tcPr>
            <w:tcW w:type="dxa" w:w="4320"/>
          </w:tcPr>
          <w:p>
            <w:r>
              <w:t>backend/routes/componentRul.js</w:t>
            </w:r>
          </w:p>
        </w:tc>
        <w:tc>
          <w:tcPr>
            <w:tcW w:type="dxa" w:w="4320"/>
          </w:tcPr>
          <w:p>
            <w:r>
              <w:t>Loads validation/test trajectories and calls Flask RUL.</w:t>
            </w:r>
          </w:p>
        </w:tc>
      </w:tr>
      <w:tr>
        <w:tc>
          <w:tcPr>
            <w:tcW w:type="dxa" w:w="4320"/>
          </w:tcPr>
          <w:p>
            <w:r>
              <w:t>backend/websocket/liveStream.js</w:t>
            </w:r>
          </w:p>
        </w:tc>
        <w:tc>
          <w:tcPr>
            <w:tcW w:type="dxa" w:w="4320"/>
          </w:tcPr>
          <w:p>
            <w:r>
              <w:t>Socket.IO subscribe/unsubscribe.</w:t>
            </w:r>
          </w:p>
        </w:tc>
      </w:tr>
      <w:tr>
        <w:tc>
          <w:tcPr>
            <w:tcW w:type="dxa" w:w="4320"/>
          </w:tcPr>
          <w:p>
            <w:r>
              <w:t>dashboard/src/App.jsx</w:t>
            </w:r>
          </w:p>
        </w:tc>
        <w:tc>
          <w:tcPr>
            <w:tcW w:type="dxa" w:w="4320"/>
          </w:tcPr>
          <w:p>
            <w:r>
              <w:t>Top-level UI composition.</w:t>
            </w:r>
          </w:p>
        </w:tc>
      </w:tr>
      <w:tr>
        <w:tc>
          <w:tcPr>
            <w:tcW w:type="dxa" w:w="4320"/>
          </w:tcPr>
          <w:p>
            <w:r>
              <w:t>dashboard/src/components/*</w:t>
            </w:r>
          </w:p>
        </w:tc>
        <w:tc>
          <w:tcPr>
            <w:tcW w:type="dxa" w:w="4320"/>
          </w:tcPr>
          <w:p>
            <w:r>
              <w:t>Fleet, truck, sensors, alerts, model info, injection and RUL views.</w:t>
            </w:r>
          </w:p>
        </w:tc>
      </w:tr>
      <w:tr>
        <w:tc>
          <w:tcPr>
            <w:tcW w:type="dxa" w:w="4320"/>
          </w:tcPr>
          <w:p>
            <w:r>
              <w:t>dashboard/src/services/api.js</w:t>
            </w:r>
          </w:p>
        </w:tc>
        <w:tc>
          <w:tcPr>
            <w:tcW w:type="dxa" w:w="4320"/>
          </w:tcPr>
          <w:p>
            <w:r>
              <w:t>HTTP API client.</w:t>
            </w:r>
          </w:p>
        </w:tc>
      </w:tr>
      <w:tr>
        <w:tc>
          <w:tcPr>
            <w:tcW w:type="dxa" w:w="4320"/>
          </w:tcPr>
          <w:p>
            <w:r>
              <w:t>dashboard/src/utils/*; constants/*</w:t>
            </w:r>
          </w:p>
        </w:tc>
        <w:tc>
          <w:tcPr>
            <w:tcW w:type="dxa" w:w="4320"/>
          </w:tcPr>
          <w:p>
            <w:r>
              <w:t>Labels, severities and CSV export.</w:t>
            </w:r>
          </w:p>
        </w:tc>
      </w:tr>
      <w:tr>
        <w:tc>
          <w:tcPr>
            <w:tcW w:type="dxa" w:w="4320"/>
          </w:tcPr>
          <w:p>
            <w:r>
              <w:t>data/raw/*</w:t>
            </w:r>
          </w:p>
        </w:tc>
        <w:tc>
          <w:tcPr>
            <w:tcW w:type="dxa" w:w="4320"/>
          </w:tcPr>
          <w:p>
            <w:r>
              <w:t>Synthetic anomaly and component-RUL CSVs.</w:t>
            </w:r>
          </w:p>
        </w:tc>
      </w:tr>
      <w:tr>
        <w:tc>
          <w:tcPr>
            <w:tcW w:type="dxa" w:w="4320"/>
          </w:tcPr>
          <w:p>
            <w:r>
              <w:t>data/processed/*</w:t>
            </w:r>
          </w:p>
        </w:tc>
        <w:tc>
          <w:tcPr>
            <w:tcW w:type="dxa" w:w="4320"/>
          </w:tcPr>
          <w:p>
            <w:r>
              <w:t>Feature matrices and metric JSON.</w:t>
            </w:r>
          </w:p>
        </w:tc>
      </w:tr>
      <w:tr>
        <w:tc>
          <w:tcPr>
            <w:tcW w:type="dxa" w:w="4320"/>
          </w:tcPr>
          <w:p>
            <w:r>
              <w:t>saved_models/*</w:t>
            </w:r>
          </w:p>
        </w:tc>
        <w:tc>
          <w:tcPr>
            <w:tcW w:type="dxa" w:w="4320"/>
          </w:tcPr>
          <w:p>
            <w:r>
              <w:t>Joblib models/scaler plus feature and metadata JSON.</w:t>
            </w:r>
          </w:p>
        </w:tc>
      </w:tr>
    </w:tbl>
    <w:p>
      <w:pPr>
        <w:pStyle w:val="Heading1"/>
      </w:pPr>
      <w:r>
        <w:t>3. Data ingestion and feature construction</w:t>
      </w:r>
    </w:p>
    <w:p>
      <w:pPr>
        <w:pStyle w:val="Heading2"/>
      </w:pPr>
      <w:r>
        <w:t>Synthetic anomaly path</w:t>
      </w:r>
    </w:p>
    <w:p>
      <w:r>
        <w:t>synthetic_anomaly_records.csv requires engine_id, record, timestamp, is_anomaly, split and 16 sensors: payload, speed, resistance, ambient temperature, engine temperature, exhaust temperature, RPM, torque, power, fuel consumption, fuel efficiency, oil pressure, boost pressure and Vibration X/Y/Z. It parses timestamps, coerces numbers, drops incomplete rows, sorts, removes engine/timestamp duplicates, and rejects engines appearing in more than one split.</w:t>
      </w:r>
    </w:p>
    <w:p>
      <w:r>
        <w:t>Each engine is converted to 30-reading windows with a five-reading step. A window is anomalous if any of its 30 readings is anomalous. Each sensor contributes mean, standard deviation, min, max, slope and range (96 features); three derived features are added: vibration_magnitude, power_efficiency and thermal_load_per_rpm (99 candidates). The selected mechanical_sensors family has 49 features.</w:t>
      </w:r>
    </w:p>
    <w:p>
      <w:pPr>
        <w:pStyle w:val="Heading2"/>
      </w:pPr>
      <w:r>
        <w:t>Component RUL path</w:t>
      </w:r>
    </w:p>
    <w:p>
      <w:r>
        <w:t>synthetic_component_rul.csv is sorted by engine and record and converted to six-record windows. Fifteen signals contribute mean, standard deviation, slope and latest value, plus operating_hours and month_index: 62 features. Five targets are predicted independently: main bearings, fuel injectors, turbocharger, cooling system and air filter.</w:t>
      </w:r>
    </w:p>
    <w:p>
      <w:r>
        <w:t>The RUL data contains 300 engines, 74,550 training rows, 45 validation engines and 45 test engines. Predictions are clipped between zero and the observed maximum of 49.99 months. The displayed range is the 10th–90th percentile of validation residuals, not a confidence interval.</w:t>
      </w:r>
    </w:p>
    <w:p>
      <w:pPr>
        <w:pStyle w:val="Heading1"/>
      </w:pPr>
      <w:r>
        <w:t>4. Isolation Forest: implemented model and decisions</w:t>
      </w:r>
    </w:p>
    <w:p>
      <w:r>
        <w:t>Isolation Forest is an unsupervised outlier detector. It builds random partition trees; unusual points are isolated in fewer splits. In scikit-learn, lower/more-negative score_samples values are more abnormal. The project predicts anomaly when raw_score &lt; decision_threshold.</w:t>
      </w:r>
    </w:p>
    <w:p>
      <w:r>
        <w:t>Labels are excluded from model fitting. They are used for validation model selection and final evaluation. This is suitable where confirmed failures are scarce, but synthetic labels still determine tuning and cannot establish field performance.</w:t>
      </w:r>
    </w:p>
    <w:p>
      <w:pPr>
        <w:pStyle w:val="ListBullet"/>
      </w:pPr>
      <w:r>
        <w:t>Feature families tested: all (99), mean_derived (19), level_spread (67), mean_std_slope (51), mean_range_slope (51), fault_sensors (75), mechanical_sensors (49).</w:t>
      </w:r>
    </w:p>
    <w:p>
      <w:pPr>
        <w:pStyle w:val="ListBullet"/>
      </w:pPr>
      <w:r>
        <w:t>For each family, max_samples is 256, 512 or 1024; n_estimators=200, contamination=auto, random_state=42, n_jobs=-1.</w:t>
      </w:r>
    </w:p>
    <w:p>
      <w:pPr>
        <w:pStyle w:val="ListBullet"/>
      </w:pPr>
      <w:r>
        <w:t>MinMaxScaler is fit on training windows only and reused at inference.</w:t>
      </w:r>
    </w:p>
    <w:p>
      <w:pPr>
        <w:pStyle w:val="ListBullet"/>
      </w:pPr>
      <w:r>
        <w:t>250 candidate score quantiles are scanned; precision, recall, F1 and normal false-alarm rate are calculated.</w:t>
      </w:r>
    </w:p>
    <w:p>
      <w:pPr>
        <w:pStyle w:val="ListBullet"/>
      </w:pPr>
      <w:r>
        <w:t>Selection first requires precision and recall both at least 0.70 where possible, then maximizes the lower of precision/recall, F1 and lower false-alarm rate.</w:t>
      </w:r>
    </w:p>
    <w:p>
      <w:pPr>
        <w:pStyle w:val="ListBullet"/>
      </w:pPr>
      <w:r>
        <w:t>Winner: mechanical_sensors, 49 features, 200 trees, max_samples=1024, threshold=-0.4295519226.</w:t>
      </w:r>
    </w:p>
    <w:tbl>
      <w:tblPr>
        <w:tblStyle w:val="LightGrid-Accent1"/>
        <w:tblW w:type="auto" w:w="0"/>
        <w:tblLook w:firstColumn="1" w:firstRow="1" w:lastColumn="0" w:lastRow="0" w:noHBand="0" w:noVBand="1" w:val="04A0"/>
      </w:tblPr>
      <w:tblGrid>
        <w:gridCol w:w="2880"/>
        <w:gridCol w:w="2880"/>
        <w:gridCol w:w="2880"/>
      </w:tblGrid>
      <w:tr>
        <w:tc>
          <w:tcPr>
            <w:tcW w:type="dxa" w:w="2880"/>
            <w:shd w:fill="D9EAF7"/>
          </w:tcPr>
          <w:p>
            <w:r>
              <w:t>Metric</w:t>
            </w:r>
          </w:p>
        </w:tc>
        <w:tc>
          <w:tcPr>
            <w:tcW w:type="dxa" w:w="2880"/>
            <w:shd w:fill="D9EAF7"/>
          </w:tcPr>
          <w:p>
            <w:r>
              <w:t>Validation</w:t>
            </w:r>
          </w:p>
        </w:tc>
        <w:tc>
          <w:tcPr>
            <w:tcW w:type="dxa" w:w="2880"/>
            <w:shd w:fill="D9EAF7"/>
          </w:tcPr>
          <w:p>
            <w:r>
              <w:t>Held-out test</w:t>
            </w:r>
          </w:p>
        </w:tc>
      </w:tr>
      <w:tr>
        <w:tc>
          <w:tcPr>
            <w:tcW w:type="dxa" w:w="2880"/>
          </w:tcPr>
          <w:p>
            <w:r>
              <w:t>Precision</w:t>
            </w:r>
          </w:p>
        </w:tc>
        <w:tc>
          <w:tcPr>
            <w:tcW w:type="dxa" w:w="2880"/>
          </w:tcPr>
          <w:p>
            <w:r>
              <w:t>0.7007</w:t>
            </w:r>
          </w:p>
        </w:tc>
        <w:tc>
          <w:tcPr>
            <w:tcW w:type="dxa" w:w="2880"/>
          </w:tcPr>
          <w:p>
            <w:r>
              <w:t>0.7665</w:t>
            </w:r>
          </w:p>
        </w:tc>
      </w:tr>
      <w:tr>
        <w:tc>
          <w:tcPr>
            <w:tcW w:type="dxa" w:w="2880"/>
          </w:tcPr>
          <w:p>
            <w:r>
              <w:t>Recall</w:t>
            </w:r>
          </w:p>
        </w:tc>
        <w:tc>
          <w:tcPr>
            <w:tcW w:type="dxa" w:w="2880"/>
          </w:tcPr>
          <w:p>
            <w:r>
              <w:t>0.7031</w:t>
            </w:r>
          </w:p>
        </w:tc>
        <w:tc>
          <w:tcPr>
            <w:tcW w:type="dxa" w:w="2880"/>
          </w:tcPr>
          <w:p>
            <w:r>
              <w:t>0.6888</w:t>
            </w:r>
          </w:p>
        </w:tc>
      </w:tr>
      <w:tr>
        <w:tc>
          <w:tcPr>
            <w:tcW w:type="dxa" w:w="2880"/>
          </w:tcPr>
          <w:p>
            <w:r>
              <w:t>F1</w:t>
            </w:r>
          </w:p>
        </w:tc>
        <w:tc>
          <w:tcPr>
            <w:tcW w:type="dxa" w:w="2880"/>
          </w:tcPr>
          <w:p>
            <w:r>
              <w:t>0.7019</w:t>
            </w:r>
          </w:p>
        </w:tc>
        <w:tc>
          <w:tcPr>
            <w:tcW w:type="dxa" w:w="2880"/>
          </w:tcPr>
          <w:p>
            <w:r>
              <w:t>0.7256</w:t>
            </w:r>
          </w:p>
        </w:tc>
      </w:tr>
      <w:tr>
        <w:tc>
          <w:tcPr>
            <w:tcW w:type="dxa" w:w="2880"/>
          </w:tcPr>
          <w:p>
            <w:r>
              <w:t>False-alarm rate</w:t>
            </w:r>
          </w:p>
        </w:tc>
        <w:tc>
          <w:tcPr>
            <w:tcW w:type="dxa" w:w="2880"/>
          </w:tcPr>
          <w:p>
            <w:r>
              <w:t>0.0239</w:t>
            </w:r>
          </w:p>
        </w:tc>
        <w:tc>
          <w:tcPr>
            <w:tcW w:type="dxa" w:w="2880"/>
          </w:tcPr>
          <w:p>
            <w:r>
              <w:t>0.0162</w:t>
            </w:r>
          </w:p>
        </w:tc>
      </w:tr>
      <w:tr>
        <w:tc>
          <w:tcPr>
            <w:tcW w:type="dxa" w:w="2880"/>
          </w:tcPr>
          <w:p>
            <w:r>
              <w:t>Confusion matrix</w:t>
            </w:r>
          </w:p>
        </w:tc>
        <w:tc>
          <w:tcPr>
            <w:tcW w:type="dxa" w:w="2880"/>
          </w:tcPr>
          <w:p>
            <w:r>
              <w:t>—</w:t>
            </w:r>
          </w:p>
        </w:tc>
        <w:tc>
          <w:tcPr>
            <w:tcW w:type="dxa" w:w="2880"/>
          </w:tcPr>
          <w:p>
            <w:r>
              <w:t>[[7268,120],[178,394]]</w:t>
            </w:r>
          </w:p>
        </w:tc>
      </w:tr>
    </w:tbl>
    <w:p>
      <w:r>
        <w:t>The test set contains 7,388 normal and 572 anomalous windows. The model detected 394 anomalies, missed 178 and produced 120 false alarms. It is a useful detector, not a complete failure oracle.</w:t>
      </w:r>
    </w:p>
    <w:p>
      <w:pPr>
        <w:pStyle w:val="Heading2"/>
      </w:pPr>
      <w:r>
        <w:t>Inference</w:t>
      </w:r>
    </w:p>
    <w:p>
      <w:r>
        <w:t>Flask requires 30 readings, keeps the latest 30, computes the same statistics and derived variables, orders the vector using synthetic_anomaly_feature_cols.json, applies the saved scaler, and calls score_samples. The saved threshold decides the binary result. The returned anomaly_score is a UI distance-to-threshold score, not a probability.</w:t>
      </w:r>
    </w:p>
    <w:p>
      <w:pPr>
        <w:pStyle w:val="Heading1"/>
      </w:pPr>
      <w:r>
        <w:t>5. Random Forest for component RUL</w:t>
      </w:r>
    </w:p>
    <w:p>
      <w:r>
        <w:t>The project now uses five independent RandomForestRegressor models for component-level RUL. Each model is a supervised bagging ensemble of 100 decision trees. The models use max_features=1.0, min_samples_leaf=2, n_jobs=-1 and distinct random states (410 through 414). One model is fitted per target component, preserving separate failure behavior for bearings, injectors, turbocharger, cooling system and air filter.</w:t>
      </w:r>
    </w:p>
    <w:p>
      <w:r>
        <w:t>Isolation Forest remains the anomaly detector. It is a different unsupervised isolation-based outlier method and still uses the existing anomaly artifact and threshold process.</w:t>
      </w:r>
    </w:p>
    <w:p>
      <w:pPr>
        <w:pStyle w:val="Heading1"/>
      </w:pPr>
      <w:r>
        <w:t>6. RUL models and metrics</w:t>
      </w:r>
    </w:p>
    <w:p>
      <w:r>
        <w:t>Each RandomForestRegressor uses n_estimators=100, max_features=1.0, min_samples_leaf=2 and a distinct random state. Models train on train engines and are measured on validation/test engines. The saved artifact version was changed so the previous gradient-boosting artifact is not silently reused; it must be retrained.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AF7"/>
          </w:tcPr>
          <w:p>
            <w:r>
              <w:t>Component</w:t>
            </w:r>
          </w:p>
        </w:tc>
        <w:tc>
          <w:tcPr>
            <w:tcW w:type="dxa" w:w="2160"/>
            <w:shd w:fill="D9EAF7"/>
          </w:tcPr>
          <w:p>
            <w:r>
              <w:t>Test MAE months</w:t>
            </w:r>
          </w:p>
        </w:tc>
        <w:tc>
          <w:tcPr>
            <w:tcW w:type="dxa" w:w="2160"/>
            <w:shd w:fill="D9EAF7"/>
          </w:tcPr>
          <w:p>
            <w:r>
              <w:t>Test RMSE months</w:t>
            </w:r>
          </w:p>
        </w:tc>
        <w:tc>
          <w:tcPr>
            <w:tcW w:type="dxa" w:w="2160"/>
            <w:shd w:fill="D9EAF7"/>
          </w:tcPr>
          <w:p>
            <w:r>
              <w:t>Baseline MAE</w:t>
            </w:r>
          </w:p>
        </w:tc>
      </w:tr>
      <w:tr>
        <w:tc>
          <w:tcPr>
            <w:tcW w:type="dxa" w:w="2160"/>
          </w:tcPr>
          <w:p>
            <w:r>
              <w:t>Main bearings</w:t>
            </w:r>
          </w:p>
        </w:tc>
        <w:tc>
          <w:tcPr>
            <w:tcW w:type="dxa" w:w="2160"/>
          </w:tcPr>
          <w:p>
            <w:r>
              <w:t>4.957</w:t>
            </w:r>
          </w:p>
        </w:tc>
        <w:tc>
          <w:tcPr>
            <w:tcW w:type="dxa" w:w="2160"/>
          </w:tcPr>
          <w:p>
            <w:r>
              <w:t>6.634</w:t>
            </w:r>
          </w:p>
        </w:tc>
        <w:tc>
          <w:tcPr>
            <w:tcW w:type="dxa" w:w="2160"/>
          </w:tcPr>
          <w:p>
            <w:r>
              <w:t>10.299</w:t>
            </w:r>
          </w:p>
        </w:tc>
      </w:tr>
      <w:tr>
        <w:tc>
          <w:tcPr>
            <w:tcW w:type="dxa" w:w="2160"/>
          </w:tcPr>
          <w:p>
            <w:r>
              <w:t>Fuel injectors</w:t>
            </w:r>
          </w:p>
        </w:tc>
        <w:tc>
          <w:tcPr>
            <w:tcW w:type="dxa" w:w="2160"/>
          </w:tcPr>
          <w:p>
            <w:r>
              <w:t>2.571</w:t>
            </w:r>
          </w:p>
        </w:tc>
        <w:tc>
          <w:tcPr>
            <w:tcW w:type="dxa" w:w="2160"/>
          </w:tcPr>
          <w:p>
            <w:r>
              <w:t>3.364</w:t>
            </w:r>
          </w:p>
        </w:tc>
        <w:tc>
          <w:tcPr>
            <w:tcW w:type="dxa" w:w="2160"/>
          </w:tcPr>
          <w:p>
            <w:r>
              <w:t>5.883</w:t>
            </w:r>
          </w:p>
        </w:tc>
      </w:tr>
      <w:tr>
        <w:tc>
          <w:tcPr>
            <w:tcW w:type="dxa" w:w="2160"/>
          </w:tcPr>
          <w:p>
            <w:r>
              <w:t>Turbocharger</w:t>
            </w:r>
          </w:p>
        </w:tc>
        <w:tc>
          <w:tcPr>
            <w:tcW w:type="dxa" w:w="2160"/>
          </w:tcPr>
          <w:p>
            <w:r>
              <w:t>5.130</w:t>
            </w:r>
          </w:p>
        </w:tc>
        <w:tc>
          <w:tcPr>
            <w:tcW w:type="dxa" w:w="2160"/>
          </w:tcPr>
          <w:p>
            <w:r>
              <w:t>6.731</w:t>
            </w:r>
          </w:p>
        </w:tc>
        <w:tc>
          <w:tcPr>
            <w:tcW w:type="dxa" w:w="2160"/>
          </w:tcPr>
          <w:p>
            <w:r>
              <w:t>8.711</w:t>
            </w:r>
          </w:p>
        </w:tc>
      </w:tr>
      <w:tr>
        <w:tc>
          <w:tcPr>
            <w:tcW w:type="dxa" w:w="2160"/>
          </w:tcPr>
          <w:p>
            <w:r>
              <w:t>Cooling system</w:t>
            </w:r>
          </w:p>
        </w:tc>
        <w:tc>
          <w:tcPr>
            <w:tcW w:type="dxa" w:w="2160"/>
          </w:tcPr>
          <w:p>
            <w:r>
              <w:t>5.613</w:t>
            </w:r>
          </w:p>
        </w:tc>
        <w:tc>
          <w:tcPr>
            <w:tcW w:type="dxa" w:w="2160"/>
          </w:tcPr>
          <w:p>
            <w:r>
              <w:t>7.455</w:t>
            </w:r>
          </w:p>
        </w:tc>
        <w:tc>
          <w:tcPr>
            <w:tcW w:type="dxa" w:w="2160"/>
          </w:tcPr>
          <w:p>
            <w:r>
              <w:t>9.460</w:t>
            </w:r>
          </w:p>
        </w:tc>
      </w:tr>
      <w:tr>
        <w:tc>
          <w:tcPr>
            <w:tcW w:type="dxa" w:w="2160"/>
          </w:tcPr>
          <w:p>
            <w:r>
              <w:t>Air filter</w:t>
            </w:r>
          </w:p>
        </w:tc>
        <w:tc>
          <w:tcPr>
            <w:tcW w:type="dxa" w:w="2160"/>
          </w:tcPr>
          <w:p>
            <w:r>
              <w:t>0.363</w:t>
            </w:r>
          </w:p>
        </w:tc>
        <w:tc>
          <w:tcPr>
            <w:tcW w:type="dxa" w:w="2160"/>
          </w:tcPr>
          <w:p>
            <w:r>
              <w:t>0.451</w:t>
            </w:r>
          </w:p>
        </w:tc>
        <w:tc>
          <w:tcPr>
            <w:tcW w:type="dxa" w:w="2160"/>
          </w:tcPr>
          <w:p>
            <w:r>
              <w:t>0.697</w:t>
            </w:r>
          </w:p>
        </w:tc>
      </w:tr>
    </w:tbl>
    <w:p>
      <w:r>
        <w:t>The API selects the weakest major component among bearings, injectors, turbocharger and cooling system. Its own response warns that RUL is a synthetic-data estimate, not a validated truck-life forecast. Previous gradient-boosting metrics should not be presented as Random Forest results; fresh metrics must be generated after retraining.</w:t>
      </w:r>
    </w:p>
    <w:p>
      <w:pPr>
        <w:pStyle w:val="Heading1"/>
      </w:pPr>
      <w:r>
        <w:t>7. API and event contracts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AF7"/>
          </w:tcPr>
          <w:p>
            <w:r>
              <w:t>Interface</w:t>
            </w:r>
          </w:p>
        </w:tc>
        <w:tc>
          <w:tcPr>
            <w:tcW w:type="dxa" w:w="2880"/>
            <w:shd w:fill="D9EAF7"/>
          </w:tcPr>
          <w:p>
            <w:r>
              <w:t>Data sent</w:t>
            </w:r>
          </w:p>
        </w:tc>
        <w:tc>
          <w:tcPr>
            <w:tcW w:type="dxa" w:w="2880"/>
            <w:shd w:fill="D9EAF7"/>
          </w:tcPr>
          <w:p>
            <w:r>
              <w:t>Data received</w:t>
            </w:r>
          </w:p>
        </w:tc>
      </w:tr>
      <w:tr>
        <w:tc>
          <w:tcPr>
            <w:tcW w:type="dxa" w:w="2880"/>
          </w:tcPr>
          <w:p>
            <w:r>
              <w:t>GET /health</w:t>
            </w:r>
          </w:p>
        </w:tc>
        <w:tc>
          <w:tcPr>
            <w:tcW w:type="dxa" w:w="2880"/>
          </w:tcPr>
          <w:p>
            <w:r>
              <w:t>None</w:t>
            </w:r>
          </w:p>
        </w:tc>
        <w:tc>
          <w:tcPr>
            <w:tcW w:type="dxa" w:w="2880"/>
          </w:tcPr>
          <w:p>
            <w:r>
              <w:t>Status, model-loaded flag, timestamp.</w:t>
            </w:r>
          </w:p>
        </w:tc>
      </w:tr>
      <w:tr>
        <w:tc>
          <w:tcPr>
            <w:tcW w:type="dxa" w:w="2880"/>
          </w:tcPr>
          <w:p>
            <w:r>
              <w:t>POST /predict</w:t>
            </w:r>
          </w:p>
        </w:tc>
        <w:tc>
          <w:tcPr>
            <w:tcW w:type="dxa" w:w="2880"/>
          </w:tcPr>
          <w:p>
            <w:r>
              <w:t>equipment_id and 30+ reading objects</w:t>
            </w:r>
          </w:p>
        </w:tc>
        <w:tc>
          <w:tcPr>
            <w:tcW w:type="dxa" w:w="2880"/>
          </w:tcPr>
          <w:p>
            <w:r>
              <w:t>Anomaly score, boolean, severity, message, top slopes, feature snapshot, processing time.</w:t>
            </w:r>
          </w:p>
        </w:tc>
      </w:tr>
      <w:tr>
        <w:tc>
          <w:tcPr>
            <w:tcW w:type="dxa" w:w="2880"/>
          </w:tcPr>
          <w:p>
            <w:r>
              <w:t>GET /model-info</w:t>
            </w:r>
          </w:p>
        </w:tc>
        <w:tc>
          <w:tcPr>
            <w:tcW w:type="dxa" w:w="2880"/>
          </w:tcPr>
          <w:p>
            <w:r>
              <w:t>None</w:t>
            </w:r>
          </w:p>
        </w:tc>
        <w:tc>
          <w:tcPr>
            <w:tcW w:type="dxa" w:w="2880"/>
          </w:tcPr>
          <w:p>
            <w:r>
              <w:t>Model version, dataset, feature count, metrics, threshold policy and RUL metadata.</w:t>
            </w:r>
          </w:p>
        </w:tc>
      </w:tr>
      <w:tr>
        <w:tc>
          <w:tcPr>
            <w:tcW w:type="dxa" w:w="2880"/>
          </w:tcPr>
          <w:p>
            <w:r>
              <w:t>GET /api/component-rul/engines</w:t>
            </w:r>
          </w:p>
        </w:tc>
        <w:tc>
          <w:tcPr>
            <w:tcW w:type="dxa" w:w="2880"/>
          </w:tcPr>
          <w:p>
            <w:r>
              <w:t>None</w:t>
            </w:r>
          </w:p>
        </w:tc>
        <w:tc>
          <w:tcPr>
            <w:tcW w:type="dxa" w:w="2880"/>
          </w:tcPr>
          <w:p>
            <w:r>
              <w:t>Validation/test trajectory metadata from CSV.</w:t>
            </w:r>
          </w:p>
        </w:tc>
      </w:tr>
      <w:tr>
        <w:tc>
          <w:tcPr>
            <w:tcW w:type="dxa" w:w="2880"/>
          </w:tcPr>
          <w:p>
            <w:r>
              <w:t>GET /api/component-rul/:id</w:t>
            </w:r>
          </w:p>
        </w:tc>
        <w:tc>
          <w:tcPr>
            <w:tcW w:type="dxa" w:w="2880"/>
          </w:tcPr>
          <w:p>
            <w:r>
              <w:t>Engine ID</w:t>
            </w:r>
          </w:p>
        </w:tc>
        <w:tc>
          <w:tcPr>
            <w:tcW w:type="dxa" w:w="2880"/>
          </w:tcPr>
          <w:p>
            <w:r>
              <w:t>RUL trajectory, latest point, weakest component and model info.</w:t>
            </w:r>
          </w:p>
        </w:tc>
      </w:tr>
      <w:tr>
        <w:tc>
          <w:tcPr>
            <w:tcW w:type="dxa" w:w="2880"/>
          </w:tcPr>
          <w:p>
            <w:r>
              <w:t>Socket.IO sensor_reading</w:t>
            </w:r>
          </w:p>
        </w:tc>
        <w:tc>
          <w:tcPr>
            <w:tcW w:type="dxa" w:w="2880"/>
          </w:tcPr>
          <w:p>
            <w:r>
              <w:t>Node emits reading/buffer state</w:t>
            </w:r>
          </w:p>
        </w:tc>
        <w:tc>
          <w:tcPr>
            <w:tcW w:type="dxa" w:w="2880"/>
          </w:tcPr>
          <w:p>
            <w:r>
              <w:t>Dashboard updates live sensors.</w:t>
            </w:r>
          </w:p>
        </w:tc>
      </w:tr>
      <w:tr>
        <w:tc>
          <w:tcPr>
            <w:tcW w:type="dxa" w:w="2880"/>
          </w:tcPr>
          <w:p>
            <w:r>
              <w:t>Socket.IO prediction</w:t>
            </w:r>
          </w:p>
        </w:tc>
        <w:tc>
          <w:tcPr>
            <w:tcW w:type="dxa" w:w="2880"/>
          </w:tcPr>
          <w:p>
            <w:r>
              <w:t>Node emits Flask result plus source/ground truth</w:t>
            </w:r>
          </w:p>
        </w:tc>
        <w:tc>
          <w:tcPr>
            <w:tcW w:type="dxa" w:w="2880"/>
          </w:tcPr>
          <w:p>
            <w:r>
              <w:t>Dashboard updates status/history.</w:t>
            </w:r>
          </w:p>
        </w:tc>
      </w:tr>
      <w:tr>
        <w:tc>
          <w:tcPr>
            <w:tcW w:type="dxa" w:w="2880"/>
          </w:tcPr>
          <w:p>
            <w:r>
              <w:t>Socket.IO new_alert / alert_updated</w:t>
            </w:r>
          </w:p>
        </w:tc>
        <w:tc>
          <w:tcPr>
            <w:tcW w:type="dxa" w:w="2880"/>
          </w:tcPr>
          <w:p>
            <w:r>
              <w:t>Node emits lifecycle event</w:t>
            </w:r>
          </w:p>
        </w:tc>
        <w:tc>
          <w:tcPr>
            <w:tcW w:type="dxa" w:w="2880"/>
          </w:tcPr>
          <w:p>
            <w:r>
              <w:t>Dashboard displays deduplicated alerts.</w:t>
            </w:r>
          </w:p>
        </w:tc>
      </w:tr>
    </w:tbl>
    <w:p>
      <w:r>
        <w:t>Hard limits are a second decision layer. simulatorService.js overrides the model with score 0.98 and CRITICAL when a configured sensor safety bound is exceeded. Otherwise NORMAL, TAKE_NOTE or CRITICAL is chosen from the model result and display score. alertService maps features to part keys and updates an existing active alert for the same equipment/part.</w:t>
      </w:r>
    </w:p>
    <w:p>
      <w:pPr>
        <w:pStyle w:val="Heading1"/>
      </w:pPr>
      <w:r>
        <w:t>8. Relationship to the three supplied PDFs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AF7"/>
          </w:tcPr>
          <w:p>
            <w:r>
              <w:t>Source</w:t>
            </w:r>
          </w:p>
        </w:tc>
        <w:tc>
          <w:tcPr>
            <w:tcW w:type="dxa" w:w="2880"/>
            <w:shd w:fill="D9EAF7"/>
          </w:tcPr>
          <w:p>
            <w:r>
              <w:t>Relevant idea</w:t>
            </w:r>
          </w:p>
        </w:tc>
        <w:tc>
          <w:tcPr>
            <w:tcW w:type="dxa" w:w="2880"/>
            <w:shd w:fill="D9EAF7"/>
          </w:tcPr>
          <w:p>
            <w:r>
              <w:t>What is actually implemented</w:t>
            </w:r>
          </w:p>
        </w:tc>
      </w:tr>
      <w:tr>
        <w:tc>
          <w:tcPr>
            <w:tcW w:type="dxa" w:w="2880"/>
          </w:tcPr>
          <w:p>
            <w:r>
              <w:t>Carstens &amp; Vlok, 2013, Caterpillar 793D statistical analysis</w:t>
            </w:r>
          </w:p>
        </w:tc>
        <w:tc>
          <w:tcPr>
            <w:tcW w:type="dxa" w:w="2880"/>
          </w:tcPr>
          <w:p>
            <w:r>
              <w:t>Condition-based maintenance, ECM telemetry, hourly readings, weekly oil analysis and through-life diagnostics.</w:t>
            </w:r>
          </w:p>
        </w:tc>
        <w:tc>
          <w:tcPr>
            <w:tcW w:type="dxa" w:w="2880"/>
          </w:tcPr>
          <w:p>
            <w:r>
              <w:t>Telemetry-style synthetic signals and condition alerts; no proportional-hazards model, oil table or PDF extraction.</w:t>
            </w:r>
          </w:p>
        </w:tc>
      </w:tr>
      <w:tr>
        <w:tc>
          <w:tcPr>
            <w:tcW w:type="dxa" w:w="2880"/>
          </w:tcPr>
          <w:p>
            <w:r>
              <w:t>Madhu et al., 2020, oil sampling and telemetry predictive maintenance</w:t>
            </w:r>
          </w:p>
        </w:tc>
        <w:tc>
          <w:tcPr>
            <w:tcW w:type="dxa" w:w="2880"/>
          </w:tcPr>
          <w:p>
            <w:r>
              <w:t>Hybrid SOS oil/telemetry/failure data, threshold variables, tumbling windows and early alerts.</w:t>
            </w:r>
          </w:p>
        </w:tc>
        <w:tc>
          <w:tcPr>
            <w:tcW w:type="dxa" w:w="2880"/>
          </w:tcPr>
          <w:p>
            <w:r>
              <w:t>Telemetry windows and alerts; no SOS chemistry or replacement-history ingestion.</w:t>
            </w:r>
          </w:p>
        </w:tc>
      </w:tr>
      <w:tr>
        <w:tc>
          <w:tcPr>
            <w:tcW w:type="dxa" w:w="2880"/>
          </w:tcPr>
          <w:p>
            <w:r>
              <w:t>Soofastaei, 2016, haul-truck energy efficiency thesis</w:t>
            </w:r>
          </w:p>
        </w:tc>
        <w:tc>
          <w:tcPr>
            <w:tcW w:type="dxa" w:w="2880"/>
          </w:tcPr>
          <w:p>
            <w:r>
              <w:t>Payload, speed and total resistance as important fuel-consumption drivers; analytics for efficiency.</w:t>
            </w:r>
          </w:p>
        </w:tc>
        <w:tc>
          <w:tcPr>
            <w:tcW w:type="dxa" w:w="2880"/>
          </w:tcPr>
          <w:p>
            <w:r>
              <w:t>Those variables exist in synthetic data/features; the thesis ANN/genetic optimization is not implemented.</w:t>
            </w:r>
          </w:p>
        </w:tc>
      </w:tr>
    </w:tbl>
    <w:p>
      <w:r>
        <w:t>The defensible conclusion is that the PDFs are conceptual research inputs, not the direct source of the current CSVs. To claim direct derivation, the project needs extraction scripts, source tables, column mappings, units, sampling frequencies, quality rules and a provenance manifest.</w:t>
      </w:r>
    </w:p>
    <w:p>
      <w:pPr>
        <w:pStyle w:val="Heading1"/>
      </w:pPr>
      <w:r>
        <w:t>9. Strengths, risks and recommendations</w:t>
      </w:r>
    </w:p>
    <w:tbl>
      <w:tblPr>
        <w:tblStyle w:val="LightGrid-Accent1"/>
        <w:tblW w:type="auto" w:w="0"/>
        <w:tblLook w:firstColumn="1" w:firstRow="1" w:lastColumn="0" w:lastRow="0" w:noHBand="0" w:noVBand="1" w:val="04A0"/>
      </w:tblPr>
      <w:tblGrid>
        <w:gridCol w:w="4320"/>
        <w:gridCol w:w="4320"/>
      </w:tblGrid>
      <w:tr>
        <w:tc>
          <w:tcPr>
            <w:tcW w:type="dxa" w:w="4320"/>
            <w:shd w:fill="D9EAF7"/>
          </w:tcPr>
          <w:p>
            <w:r>
              <w:t>Area</w:t>
            </w:r>
          </w:p>
        </w:tc>
        <w:tc>
          <w:tcPr>
            <w:tcW w:type="dxa" w:w="4320"/>
            <w:shd w:fill="D9EAF7"/>
          </w:tcPr>
          <w:p>
            <w:r>
              <w:t>Assessment</w:t>
            </w:r>
          </w:p>
        </w:tc>
      </w:tr>
      <w:tr>
        <w:tc>
          <w:tcPr>
            <w:tcW w:type="dxa" w:w="4320"/>
          </w:tcPr>
          <w:p>
            <w:r>
              <w:t>Leakage</w:t>
            </w:r>
          </w:p>
        </w:tc>
        <w:tc>
          <w:tcPr>
            <w:tcW w:type="dxa" w:w="4320"/>
          </w:tcPr>
          <w:p>
            <w:r>
              <w:t>Engine-level splits are correctly used; preserve this invariant.</w:t>
            </w:r>
          </w:p>
        </w:tc>
      </w:tr>
      <w:tr>
        <w:tc>
          <w:tcPr>
            <w:tcW w:type="dxa" w:w="4320"/>
          </w:tcPr>
          <w:p>
            <w:r>
              <w:t>Anomaly validity</w:t>
            </w:r>
          </w:p>
        </w:tc>
        <w:tc>
          <w:tcPr>
            <w:tcW w:type="dxa" w:w="4320"/>
          </w:tcPr>
          <w:p>
            <w:r>
              <w:t>Synthetic anomalies may not match real faults; calibrate on field false alarms and misses.</w:t>
            </w:r>
          </w:p>
        </w:tc>
      </w:tr>
      <w:tr>
        <w:tc>
          <w:tcPr>
            <w:tcW w:type="dxa" w:w="4320"/>
          </w:tcPr>
          <w:p>
            <w:r>
              <w:t>Feature consistency</w:t>
            </w:r>
          </w:p>
        </w:tc>
        <w:tc>
          <w:tcPr>
            <w:tcW w:type="dxa" w:w="4320"/>
          </w:tcPr>
          <w:p>
            <w:r>
              <w:t>Training and inference share the same 30-reading feature recipe; pin package versions.</w:t>
            </w:r>
          </w:p>
        </w:tc>
      </w:tr>
      <w:tr>
        <w:tc>
          <w:tcPr>
            <w:tcW w:type="dxa" w:w="4320"/>
          </w:tcPr>
          <w:p>
            <w:r>
              <w:t>RUL validity</w:t>
            </w:r>
          </w:p>
        </w:tc>
        <w:tc>
          <w:tcPr>
            <w:tcW w:type="dxa" w:w="4320"/>
          </w:tcPr>
          <w:p>
            <w:r>
              <w:t>Use true replacement/failure timestamps and censoring-aware methods for field deployment.</w:t>
            </w:r>
          </w:p>
        </w:tc>
      </w:tr>
      <w:tr>
        <w:tc>
          <w:tcPr>
            <w:tcW w:type="dxa" w:w="4320"/>
          </w:tcPr>
          <w:p>
            <w:r>
              <w:t>Data completeness</w:t>
            </w:r>
          </w:p>
        </w:tc>
        <w:tc>
          <w:tcPr>
            <w:tcW w:type="dxa" w:w="4320"/>
          </w:tcPr>
          <w:p>
            <w:r>
              <w:t>Add oil chemistry and historical replacement data if the hybrid maintenance claim is required.</w:t>
            </w:r>
          </w:p>
        </w:tc>
      </w:tr>
      <w:tr>
        <w:tc>
          <w:tcPr>
            <w:tcW w:type="dxa" w:w="4320"/>
          </w:tcPr>
          <w:p>
            <w:r>
              <w:t>Operations</w:t>
            </w:r>
          </w:p>
        </w:tc>
        <w:tc>
          <w:tcPr>
            <w:tcW w:type="dxa" w:w="4320"/>
          </w:tcPr>
          <w:p>
            <w:r>
              <w:t>Docker compose is repeatable, but Docker must be installed/running; otherwise run Flask and Node separately.</w:t>
            </w:r>
          </w:p>
        </w:tc>
      </w:tr>
      <w:tr>
        <w:tc>
          <w:tcPr>
            <w:tcW w:type="dxa" w:w="4320"/>
          </w:tcPr>
          <w:p>
            <w:r>
              <w:t>Explainability</w:t>
            </w:r>
          </w:p>
        </w:tc>
        <w:tc>
          <w:tcPr>
            <w:tcW w:type="dxa" w:w="4320"/>
          </w:tcPr>
          <w:p>
            <w:r>
              <w:t>Top slopes are a lightweight explanation; add model diagnostics and per-sensor contribution studies before safety-critical use.</w:t>
            </w:r>
          </w:p>
        </w:tc>
      </w:tr>
    </w:tbl>
    <w:p>
      <w:pPr>
        <w:pStyle w:val="Heading1"/>
      </w:pPr>
      <w:r>
        <w:t>10. Runbook</w:t>
      </w:r>
    </w:p>
    <w:p>
      <w:r>
        <w:t>Docker: from the project root run docker compose up --build (or docker compose up --build -d). Dashboard: http://localhost:8080; Node: port 3000; Flask: port 5001.</w:t>
      </w:r>
    </w:p>
    <w:p>
      <w:r>
        <w:t>Local Python: activate the virtual environment, run python -m pip install -r requirements.txt, then python python_service\predictor.py.</w:t>
      </w:r>
    </w:p>
    <w:p>
      <w:r>
        <w:t>Local Node: cd backend; npm install; npm start. Ensure Flask is running and FLASK_URL points to http://localhost:5001.</w:t>
      </w:r>
    </w:p>
    <w:p>
      <w:pPr>
        <w:pStyle w:val="Heading1"/>
      </w:pPr>
      <w:r>
        <w:t>Appendix A — artifacts</w:t>
      </w:r>
    </w:p>
    <w:tbl>
      <w:tblPr>
        <w:tblStyle w:val="LightGrid-Accent1"/>
        <w:tblW w:type="auto" w:w="0"/>
        <w:tblLook w:firstColumn="1" w:firstRow="1" w:lastColumn="0" w:lastRow="0" w:noHBand="0" w:noVBand="1" w:val="04A0"/>
      </w:tblPr>
      <w:tblGrid>
        <w:gridCol w:w="4320"/>
        <w:gridCol w:w="4320"/>
      </w:tblGrid>
      <w:tr>
        <w:tc>
          <w:tcPr>
            <w:tcW w:type="dxa" w:w="4320"/>
            <w:shd w:fill="D9EAF7"/>
          </w:tcPr>
          <w:p>
            <w:r>
              <w:t>Artifact</w:t>
            </w:r>
          </w:p>
        </w:tc>
        <w:tc>
          <w:tcPr>
            <w:tcW w:type="dxa" w:w="4320"/>
            <w:shd w:fill="D9EAF7"/>
          </w:tcPr>
          <w:p>
            <w:r>
              <w:t>Purpose</w:t>
            </w:r>
          </w:p>
        </w:tc>
      </w:tr>
      <w:tr>
        <w:tc>
          <w:tcPr>
            <w:tcW w:type="dxa" w:w="4320"/>
          </w:tcPr>
          <w:p>
            <w:r>
              <w:t>saved_models/isolation_forest.pkl</w:t>
            </w:r>
          </w:p>
        </w:tc>
        <w:tc>
          <w:tcPr>
            <w:tcW w:type="dxa" w:w="4320"/>
          </w:tcPr>
          <w:p>
            <w:r>
              <w:t>Serialized winning Isolation Forest.</w:t>
            </w:r>
          </w:p>
        </w:tc>
      </w:tr>
      <w:tr>
        <w:tc>
          <w:tcPr>
            <w:tcW w:type="dxa" w:w="4320"/>
          </w:tcPr>
          <w:p>
            <w:r>
              <w:t>saved_models/synthetic_anomaly_scaler.pkl</w:t>
            </w:r>
          </w:p>
        </w:tc>
        <w:tc>
          <w:tcPr>
            <w:tcW w:type="dxa" w:w="4320"/>
          </w:tcPr>
          <w:p>
            <w:r>
              <w:t>Training MinMaxScaler.</w:t>
            </w:r>
          </w:p>
        </w:tc>
      </w:tr>
      <w:tr>
        <w:tc>
          <w:tcPr>
            <w:tcW w:type="dxa" w:w="4320"/>
          </w:tcPr>
          <w:p>
            <w:r>
              <w:t>saved_models/synthetic_anomaly_feature_cols.json</w:t>
            </w:r>
          </w:p>
        </w:tc>
        <w:tc>
          <w:tcPr>
            <w:tcW w:type="dxa" w:w="4320"/>
          </w:tcPr>
          <w:p>
            <w:r>
              <w:t>Exact ordered 49-feature vector.</w:t>
            </w:r>
          </w:p>
        </w:tc>
      </w:tr>
      <w:tr>
        <w:tc>
          <w:tcPr>
            <w:tcW w:type="dxa" w:w="4320"/>
          </w:tcPr>
          <w:p>
            <w:r>
              <w:t>saved_models/synthetic_anomaly_model_metadata.json</w:t>
            </w:r>
          </w:p>
        </w:tc>
        <w:tc>
          <w:tcPr>
            <w:tcW w:type="dxa" w:w="4320"/>
          </w:tcPr>
          <w:p>
            <w:r>
              <w:t>Hash, split IDs, threshold, features and parameters.</w:t>
            </w:r>
          </w:p>
        </w:tc>
      </w:tr>
      <w:tr>
        <w:tc>
          <w:tcPr>
            <w:tcW w:type="dxa" w:w="4320"/>
          </w:tcPr>
          <w:p>
            <w:r>
              <w:t>data/processed/isolation_forest_results.json</w:t>
            </w:r>
          </w:p>
        </w:tc>
        <w:tc>
          <w:tcPr>
            <w:tcW w:type="dxa" w:w="4320"/>
          </w:tcPr>
          <w:p>
            <w:r>
              <w:t>Metrics and confusion matrix.</w:t>
            </w:r>
          </w:p>
        </w:tc>
      </w:tr>
      <w:tr>
        <w:tc>
          <w:tcPr>
            <w:tcW w:type="dxa" w:w="4320"/>
          </w:tcPr>
          <w:p>
            <w:r>
              <w:t>data/processed/component_rul_results.json</w:t>
            </w:r>
          </w:p>
        </w:tc>
        <w:tc>
          <w:tcPr>
            <w:tcW w:type="dxa" w:w="4320"/>
          </w:tcPr>
          <w:p>
            <w:r>
              <w:t>RUL metrics, residual ranges and baseline.</w:t>
            </w:r>
          </w:p>
        </w:tc>
      </w:tr>
      <w:tr>
        <w:tc>
          <w:tcPr>
            <w:tcW w:type="dxa" w:w="4320"/>
          </w:tcPr>
          <w:p>
            <w:r>
              <w:t>data/processed/rul_regressor_results.json</w:t>
            </w:r>
          </w:p>
        </w:tc>
        <w:tc>
          <w:tcPr>
            <w:tcW w:type="dxa" w:w="4320"/>
          </w:tcPr>
          <w:p>
            <w:r>
              <w:t>Separate CMAPSS-style RUL experiment; not the live component RUL service.</w:t>
            </w:r>
          </w:p>
        </w:tc>
      </w:tr>
    </w:tbl>
    <w:p>
      <w:pPr>
        <w:pStyle w:val="Heading1"/>
      </w:pPr>
      <w:r>
        <w:t>Appendix B — supplied references</w:t>
      </w:r>
    </w:p>
    <w:p>
      <w:r>
        <w:t>Carstens, W.A. and Vlok, P.J. “Statistical Analysis of Caterpillar 793D Haul Truck Engine Data and Through-Life Diagnostic Information Using the Proportional Hazards Model.” South African Journal of Industrial Engineering, 2013.</w:t>
      </w:r>
    </w:p>
    <w:p>
      <w:r>
        <w:t>Madhu, B. et al. “Predictive Maintenance of Mining Haul Truck Engines Using Oil Sampling and Telemetry Data.” IOSR Journal of Engineering, 2020.</w:t>
      </w:r>
    </w:p>
    <w:p>
      <w:r>
        <w:t>Soofastaei, A. “Development of an Advanced Data Analytics Model to Improve the Energy Efficiency of Haul Trucks in Surface Mines.” PhD thesis, University of Queensland, 2016.</w:t>
      </w:r>
    </w:p>
    <w:p>
      <w:r>
        <w:t>This report is repository-grounded. Where the PDFs and implementation differ, the implementation description takes precedence.</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Engine Monitoring Project Report | Repository-grounded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