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B5C6B"/>
        </w:rPr>
        <w:t>Field Safety &amp; Escalation SOP</w:t>
      </w:r>
    </w:p>
    <w:p>
      <w:r>
        <w:rPr>
          <w:i/>
        </w:rPr>
        <w:t>Applies to all Northwind technicians and service desk staff · Northwind Field Service · Fictional training document</w:t>
      </w:r>
    </w:p>
    <w:p>
      <w:pPr>
        <w:pStyle w:val="Heading1"/>
      </w:pPr>
      <w:r>
        <w:t>1. Stop-work situations (escalate immediately)</w:t>
      </w:r>
    </w:p>
    <w:p>
      <w:r>
        <w:t>If a report mentions any of the following, the service desk must NOT give troubleshooting steps. Tell the caller to keep people away and, where safe, isolate power. Escalate to the Duty Manager by phone at once:</w:t>
      </w:r>
    </w:p>
    <w:p>
      <w:pPr>
        <w:pStyle w:val="ListBullet"/>
      </w:pPr>
      <w:r>
        <w:t>Smoke, fire, sparks or a burning smell</w:t>
      </w:r>
    </w:p>
    <w:p>
      <w:pPr>
        <w:pStyle w:val="ListBullet"/>
      </w:pPr>
      <w:r>
        <w:t>Gas or strong refrigerant smell</w:t>
      </w:r>
    </w:p>
    <w:p>
      <w:pPr>
        <w:pStyle w:val="ListBullet"/>
      </w:pPr>
      <w:r>
        <w:t>Fuel leak or diesel on the floor</w:t>
      </w:r>
    </w:p>
    <w:p>
      <w:pPr>
        <w:pStyle w:val="ListBullet"/>
      </w:pPr>
      <w:r>
        <w:t>Electric shock or exposed live wiring</w:t>
      </w:r>
    </w:p>
    <w:p>
      <w:pPr>
        <w:pStyle w:val="ListBullet"/>
      </w:pPr>
      <w:r>
        <w:t>Anyone injured</w:t>
      </w:r>
    </w:p>
    <w:p>
      <w:pPr>
        <w:pStyle w:val="Heading1"/>
      </w:pPr>
      <w:r>
        <w:t>2. Response times by service plan</w:t>
      </w:r>
    </w:p>
    <w:tbl>
      <w:tblPr>
        <w:tblStyle w:val="LightGrid-Accent5"/>
        <w:tblW w:type="auto" w:w="0"/>
        <w:tblLook w:firstColumn="1" w:firstRow="1" w:lastColumn="0" w:lastRow="0" w:noHBand="0" w:noVBand="1" w:val="04A0"/>
      </w:tblPr>
      <w:tblGrid>
        <w:gridCol w:w="4320"/>
        <w:gridCol w:w="4320"/>
      </w:tblGrid>
      <w:tr>
        <w:tc>
          <w:tcPr>
            <w:tcW w:type="dxa" w:w="4320"/>
          </w:tcPr>
          <w:p>
            <w:r>
              <w:rPr>
                <w:b/>
              </w:rPr>
              <w:t>Service plan</w:t>
            </w:r>
          </w:p>
        </w:tc>
        <w:tc>
          <w:tcPr>
            <w:tcW w:type="dxa" w:w="4320"/>
          </w:tcPr>
          <w:p>
            <w:r>
              <w:rPr>
                <w:b/>
              </w:rPr>
              <w:t>Target on-site response</w:t>
            </w:r>
          </w:p>
        </w:tc>
      </w:tr>
      <w:tr>
        <w:tc>
          <w:tcPr>
            <w:tcW w:type="dxa" w:w="4320"/>
          </w:tcPr>
          <w:p>
            <w:r>
              <w:t>Platinum</w:t>
            </w:r>
          </w:p>
        </w:tc>
        <w:tc>
          <w:tcPr>
            <w:tcW w:type="dxa" w:w="4320"/>
          </w:tcPr>
          <w:p>
            <w:r>
              <w:t>2 hours, 24/7</w:t>
            </w:r>
          </w:p>
        </w:tc>
      </w:tr>
      <w:tr>
        <w:tc>
          <w:tcPr>
            <w:tcW w:type="dxa" w:w="4320"/>
          </w:tcPr>
          <w:p>
            <w:r>
              <w:t>Gold</w:t>
            </w:r>
          </w:p>
        </w:tc>
        <w:tc>
          <w:tcPr>
            <w:tcW w:type="dxa" w:w="4320"/>
          </w:tcPr>
          <w:p>
            <w:r>
              <w:t>4 hours, 24/7</w:t>
            </w:r>
          </w:p>
        </w:tc>
      </w:tr>
      <w:tr>
        <w:tc>
          <w:tcPr>
            <w:tcW w:type="dxa" w:w="4320"/>
          </w:tcPr>
          <w:p>
            <w:r>
              <w:t>Silver</w:t>
            </w:r>
          </w:p>
        </w:tc>
        <w:tc>
          <w:tcPr>
            <w:tcW w:type="dxa" w:w="4320"/>
          </w:tcPr>
          <w:p>
            <w:r>
              <w:t>Next business day</w:t>
            </w:r>
          </w:p>
        </w:tc>
      </w:tr>
      <w:tr>
        <w:tc>
          <w:tcPr>
            <w:tcW w:type="dxa" w:w="4320"/>
          </w:tcPr>
          <w:p>
            <w:r>
              <w:t>None (pay per visit)</w:t>
            </w:r>
          </w:p>
        </w:tc>
        <w:tc>
          <w:tcPr>
            <w:tcW w:type="dxa" w:w="4320"/>
          </w:tcPr>
          <w:p>
            <w:r>
              <w:t>Best effort, quote first</w:t>
            </w:r>
          </w:p>
        </w:tc>
      </w:tr>
    </w:tbl>
    <w:p/>
    <w:p>
      <w:pPr>
        <w:pStyle w:val="Heading1"/>
      </w:pPr>
      <w:r>
        <w:t>3. Priority rules</w:t>
      </w:r>
    </w:p>
    <w:tbl>
      <w:tblPr>
        <w:tblStyle w:val="LightGrid-Accent5"/>
        <w:tblW w:type="auto" w:w="0"/>
        <w:tblLook w:firstColumn="1" w:firstRow="1" w:lastColumn="0" w:lastRow="0" w:noHBand="0" w:noVBand="1" w:val="04A0"/>
      </w:tblPr>
      <w:tblGrid>
        <w:gridCol w:w="4320"/>
        <w:gridCol w:w="4320"/>
      </w:tblGrid>
      <w:tr>
        <w:tc>
          <w:tcPr>
            <w:tcW w:type="dxa" w:w="4320"/>
          </w:tcPr>
          <w:p>
            <w:r>
              <w:rPr>
                <w:b/>
              </w:rPr>
              <w:t>Priority</w:t>
            </w:r>
          </w:p>
        </w:tc>
        <w:tc>
          <w:tcPr>
            <w:tcW w:type="dxa" w:w="4320"/>
          </w:tcPr>
          <w:p>
            <w:r>
              <w:rPr>
                <w:b/>
              </w:rPr>
              <w:t>When</w:t>
            </w:r>
          </w:p>
        </w:tc>
      </w:tr>
      <w:tr>
        <w:tc>
          <w:tcPr>
            <w:tcW w:type="dxa" w:w="4320"/>
          </w:tcPr>
          <w:p>
            <w:r>
              <w:t>P1 – Critical</w:t>
            </w:r>
          </w:p>
        </w:tc>
        <w:tc>
          <w:tcPr>
            <w:tcW w:type="dxa" w:w="4320"/>
          </w:tcPr>
          <w:p>
            <w:r>
              <w:t>Any stop-work situation, OR a hospital / data-centre generator that fails to start, OR total loss of cooling at a hospital</w:t>
            </w:r>
          </w:p>
        </w:tc>
      </w:tr>
      <w:tr>
        <w:tc>
          <w:tcPr>
            <w:tcW w:type="dxa" w:w="4320"/>
          </w:tcPr>
          <w:p>
            <w:r>
              <w:t>P2 – High</w:t>
            </w:r>
          </w:p>
        </w:tc>
        <w:tc>
          <w:tcPr>
            <w:tcW w:type="dxa" w:w="4320"/>
          </w:tcPr>
          <w:p>
            <w:r>
              <w:t>Equipment not working, no safety risk</w:t>
            </w:r>
          </w:p>
        </w:tc>
      </w:tr>
      <w:tr>
        <w:tc>
          <w:tcPr>
            <w:tcW w:type="dxa" w:w="4320"/>
          </w:tcPr>
          <w:p>
            <w:r>
              <w:t>P3 – Normal</w:t>
            </w:r>
          </w:p>
        </w:tc>
        <w:tc>
          <w:tcPr>
            <w:tcW w:type="dxa" w:w="4320"/>
          </w:tcPr>
          <w:p>
            <w:r>
              <w:t>Equipment working but degraded (noise, reduced performance), or a question</w:t>
            </w:r>
          </w:p>
        </w:tc>
      </w:tr>
    </w:tbl>
    <w:p/>
    <w:p>
      <w:pPr>
        <w:pStyle w:val="Heading1"/>
      </w:pPr>
      <w:r>
        <w:t>4. Warranty and cost approval</w:t>
      </w:r>
    </w:p>
    <w:p>
      <w:pPr>
        <w:pStyle w:val="ListBullet"/>
      </w:pPr>
      <w:r>
        <w:t>Within warranty: parts and labour are free to the customer.</w:t>
      </w:r>
    </w:p>
    <w:p>
      <w:pPr>
        <w:pStyle w:val="ListBullet"/>
      </w:pPr>
      <w:r>
        <w:t>Out of warranty: parts at list price plus labour at 85 USD per hour.</w:t>
      </w:r>
    </w:p>
    <w:p>
      <w:pPr>
        <w:pStyle w:val="ListBullet"/>
      </w:pPr>
      <w:r>
        <w:t>Any job where parts cost more than 500 USD needs Service Manager approval before ordering.</w:t>
      </w:r>
    </w:p>
    <w:p>
      <w:pPr>
        <w:pStyle w:val="ListBullet"/>
      </w:pPr>
      <w:r>
        <w:t>Never promise a free repair until the asset's warranty end date has been checked.</w:t>
      </w:r>
    </w:p>
    <w:p>
      <w:pPr>
        <w:pStyle w:val="Heading1"/>
      </w:pPr>
      <w:r>
        <w:t>5. Missing information</w:t>
      </w:r>
    </w:p>
    <w:p>
      <w:r>
        <w:t>If the asset ID (format AST-####) is missing, ask for it. It is printed on the silver label inside the service door. Do not guess which asset a customer means, even if they have only one of that model.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