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Northwind Home Appliances – Returns, Warranty &amp; Escalation Policy</w:t>
      </w:r>
    </w:p>
    <w:p>
      <w:r>
        <w:rPr>
          <w:i/>
        </w:rPr>
        <w:t>Customer Care Operations · Version 3.2 · Internal use only · Fictional company for training</w:t>
      </w:r>
    </w:p>
    <w:p>
      <w:pPr>
        <w:pStyle w:val="Heading1"/>
      </w:pPr>
      <w:r>
        <w:t>1. Purpose</w:t>
      </w:r>
    </w:p>
    <w:p>
      <w:r>
        <w:t>This policy tells customer care staff (and the AI agents that support them) how to classify, prioritize and route customer cases. If a situation is not covered by this policy, do not guess: route the case to a Supervisor.</w:t>
      </w:r>
    </w:p>
    <w:p>
      <w:pPr>
        <w:pStyle w:val="Heading1"/>
      </w:pPr>
      <w:r>
        <w:t>2. Products and list prices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List price (USD)</w:t>
            </w:r>
          </w:p>
        </w:tc>
      </w:tr>
      <w:tr>
        <w:tc>
          <w:tcPr>
            <w:tcW w:type="dxa" w:w="4320"/>
          </w:tcPr>
          <w:p>
            <w:r>
              <w:t>Northwind KettlePro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Northwind CoolBreeze Fan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Northwind BlendMax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Northwind AirFry 5L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Northwind SmartVac X2</w:t>
            </w:r>
          </w:p>
        </w:tc>
        <w:tc>
          <w:tcPr>
            <w:tcW w:type="dxa" w:w="4320"/>
          </w:tcPr>
          <w:p>
            <w:r>
              <w:t>399</w:t>
            </w:r>
          </w:p>
        </w:tc>
      </w:tr>
    </w:tbl>
    <w:p/>
    <w:p>
      <w:pPr>
        <w:pStyle w:val="Heading1"/>
      </w:pPr>
      <w:r>
        <w:t>3. Returns (any reason)</w:t>
      </w:r>
    </w:p>
    <w:p>
      <w:pPr>
        <w:pStyle w:val="ListBullet"/>
      </w:pPr>
      <w:r>
        <w:t>Customers may return any product within 30 days of the delivery date for a full refund or a replacement.</w:t>
      </w:r>
    </w:p>
    <w:p>
      <w:pPr>
        <w:pStyle w:val="ListBullet"/>
      </w:pPr>
      <w:r>
        <w:t>Faulty, damaged-on-arrival or wrong items within 30 days: free return shipping.</w:t>
      </w:r>
    </w:p>
    <w:p>
      <w:pPr>
        <w:pStyle w:val="ListBullet"/>
      </w:pPr>
      <w:r>
        <w:t>Change-of-mind returns within 30 days: the product must be unused; the customer pays return shipping.</w:t>
      </w:r>
    </w:p>
    <w:p>
      <w:pPr>
        <w:pStyle w:val="Heading1"/>
      </w:pPr>
      <w:r>
        <w:t>4. Warranty (after the 30-day return window)</w:t>
      </w:r>
    </w:p>
    <w:p>
      <w:r>
        <w:t>Warranty is counted from the delivery date. Within warranty, a faulty product is repaired or replaced free of charge. A warranty claim does not entitle the customer to a cash refund.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Customer country / region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Warranty period</w:t>
            </w:r>
          </w:p>
        </w:tc>
      </w:tr>
      <w:tr>
        <w:tc>
          <w:tcPr>
            <w:tcW w:type="dxa" w:w="4320"/>
          </w:tcPr>
          <w:p>
            <w:r>
              <w:t>European Union countries (e.g. Germany, Ireland, Spain)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t>United Kingdom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t>United States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India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United Arab Emirates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</w:tbl>
    <w:p/>
    <w:p>
      <w:r>
        <w:t>Any country not listed above: warranty is NOT SPECIFIED. Route to a Supervisor.</w:t>
      </w:r>
    </w:p>
    <w:p>
      <w:r>
        <w:t>Out of warranty: offer a paid repair quote. Do not offer a free replacement or refund.</w:t>
      </w:r>
    </w:p>
    <w:p>
      <w:pPr>
        <w:pStyle w:val="Heading1"/>
      </w:pPr>
      <w:r>
        <w:t>5. Money: refunds and goodwill credits</w:t>
      </w:r>
    </w:p>
    <w:p>
      <w:pPr>
        <w:pStyle w:val="ListBullet"/>
      </w:pPr>
      <w:r>
        <w:t>Care staff and AI agents may offer a goodwill voucher of up to 25 USD without approval.</w:t>
      </w:r>
    </w:p>
    <w:p>
      <w:pPr>
        <w:pStyle w:val="ListBullet"/>
      </w:pPr>
      <w:r>
        <w:t>Any refund, credit or voucher above 25 USD that is not an automatic 30-day return refund requires Supervisor approval.</w:t>
      </w:r>
    </w:p>
    <w:p>
      <w:pPr>
        <w:pStyle w:val="ListBullet"/>
      </w:pPr>
      <w:r>
        <w:t>Never promise a refund or credit before the routing in Section 6 allows it.</w:t>
      </w:r>
    </w:p>
    <w:p>
      <w:pPr>
        <w:pStyle w:val="Heading1"/>
      </w:pPr>
      <w:r>
        <w:t>6. Routing rules (apply in this order – first match wins)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If the case mentions…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Smoke, fire, burning smell, sparks, overheating, electric shock, injury</w:t>
            </w:r>
          </w:p>
        </w:tc>
        <w:tc>
          <w:tcPr>
            <w:tcW w:type="dxa" w:w="2160"/>
          </w:tcPr>
          <w:p>
            <w:r>
              <w:t>Product Safety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Lawyer, court, legal action, consumer court, regulator, ombudsman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 refund/credit request not allowed automatically by Sections 3–5, a country not in Section 4, or conflicting facts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 follow-up on an existing open case</w:t>
            </w:r>
          </w:p>
        </w:tc>
        <w:tc>
          <w:tcPr>
            <w:tcW w:type="dxa" w:w="2160"/>
          </w:tcPr>
          <w:p>
            <w:r>
              <w:t>Duplicate – link to original case</w:t>
            </w:r>
          </w:p>
        </w:tc>
        <w:tc>
          <w:tcPr>
            <w:tcW w:type="dxa" w:w="2160"/>
          </w:tcPr>
          <w:p>
            <w:r>
              <w:t>Same as original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Product fault, wrong or damaged item, information request</w:t>
            </w:r>
          </w:p>
        </w:tc>
        <w:tc>
          <w:tcPr>
            <w:tcW w:type="dxa" w:w="2160"/>
          </w:tcPr>
          <w:p>
            <w:r>
              <w:t>Auto-reply</w:t>
            </w:r>
          </w:p>
        </w:tc>
        <w:tc>
          <w:tcPr>
            <w:tcW w:type="dxa" w:w="2160"/>
          </w:tcPr>
          <w:p>
            <w:r>
              <w:t>P2 if product unusable, otherwise P3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Compliment or feedback only</w:t>
            </w:r>
          </w:p>
        </w:tc>
        <w:tc>
          <w:tcPr>
            <w:tcW w:type="dxa" w:w="2160"/>
          </w:tcPr>
          <w:p>
            <w:r>
              <w:t>Auto-reply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</w:tbl>
    <w:p/>
    <w:p>
      <w:pPr>
        <w:pStyle w:val="Heading1"/>
      </w:pPr>
      <w:r>
        <w:t>7. Safety cases</w:t>
      </w:r>
    </w:p>
    <w:p>
      <w:r>
        <w:t>For any Product Safety case: tell the customer to stop using the product immediately and unplug it. Do NOT give troubleshooting steps. Product Safety will contact the customer within 24 hours.</w:t>
      </w:r>
    </w:p>
    <w:p>
      <w:pPr>
        <w:pStyle w:val="Heading1"/>
      </w:pPr>
      <w:r>
        <w:t>8. Missing or conflicting information</w:t>
      </w:r>
    </w:p>
    <w:p>
      <w:pPr>
        <w:pStyle w:val="ListBullet"/>
      </w:pPr>
      <w:r>
        <w:t>If the order number is missing, mark the case NEEDS INFO and ask the customer for it. Do not guess the order.</w:t>
      </w:r>
    </w:p>
    <w:p>
      <w:pPr>
        <w:pStyle w:val="ListBullet"/>
      </w:pPr>
      <w:r>
        <w:t>If two facts conflict (for example the delivery date in our system and the date the customer states), do not choose one. Mark NEEDS CLARIFICATION, quote both values and route to a Supervisor.</w:t>
      </w:r>
    </w:p>
    <w:p>
      <w:pPr>
        <w:pStyle w:val="Heading1"/>
      </w:pPr>
      <w:r>
        <w:t>9. Personal and payment data</w:t>
      </w:r>
    </w:p>
    <w:p>
      <w:r>
        <w:t>Never repeat payment card numbers, passwords or ID numbers in any output. If a customer has included one, flag the case 'SENSITIVE DATA – MASK', refer to the card only as 'card ending ####', and remind the customer never to send card details by email or chat.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