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eastAsia="仿宋_GB2312"/>
          <w:b/>
          <w:bCs/>
          <w:sz w:val="32"/>
        </w:rPr>
      </w:pPr>
      <w:r>
        <w:rPr>
          <w:rFonts w:hint="eastAsia" w:eastAsia="仿宋_GB2312"/>
          <w:b/>
          <w:bCs/>
          <w:sz w:val="32"/>
        </w:rPr>
        <w:t>海南大学计算机与网络空间安全学院</w:t>
      </w:r>
    </w:p>
    <w:p>
      <w:pPr>
        <w:jc w:val="center"/>
        <w:rPr>
          <w:rFonts w:hint="eastAsia"/>
          <w:b/>
          <w:bCs/>
          <w:sz w:val="48"/>
        </w:rPr>
      </w:pPr>
      <w:r>
        <w:rPr>
          <w:rFonts w:hint="eastAsia"/>
          <w:b/>
          <w:bCs/>
          <w:sz w:val="48"/>
        </w:rPr>
        <w:t>实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验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报</w:t>
      </w:r>
      <w:r>
        <w:rPr>
          <w:b/>
          <w:bCs/>
          <w:sz w:val="48"/>
        </w:rPr>
        <w:t xml:space="preserve">  </w:t>
      </w:r>
      <w:r>
        <w:rPr>
          <w:rFonts w:hint="eastAsia"/>
          <w:b/>
          <w:bCs/>
          <w:sz w:val="48"/>
        </w:rPr>
        <w:t>告</w:t>
      </w:r>
      <w: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3544570</wp:posOffset>
                </wp:positionH>
                <wp:positionV relativeFrom="paragraph">
                  <wp:posOffset>386715</wp:posOffset>
                </wp:positionV>
                <wp:extent cx="1771650" cy="584835"/>
                <wp:effectExtent l="0" t="0" r="0" b="0"/>
                <wp:wrapNone/>
                <wp:docPr id="1" name="文本框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1650" cy="58483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txbx>
                        <w:txbxContent>
                          <w:tbl>
                            <w:tblPr>
                              <w:tblStyle w:val="4"/>
                              <w:tblW w:w="0" w:type="auto"/>
                              <w:jc w:val="center"/>
                              <w:tblBorders>
                                <w:top w:val="single" w:color="auto" w:sz="4" w:space="0"/>
                                <w:left w:val="single" w:color="auto" w:sz="4" w:space="0"/>
                                <w:bottom w:val="single" w:color="auto" w:sz="4" w:space="0"/>
                                <w:right w:val="single" w:color="auto" w:sz="4" w:space="0"/>
                                <w:insideH w:val="none" w:color="auto" w:sz="0" w:space="0"/>
                                <w:insideV w:val="none" w:color="auto" w:sz="0" w:space="0"/>
                              </w:tblBorders>
                              <w:tblLayout w:type="autofit"/>
                              <w:tblCellMar>
                                <w:top w:w="0" w:type="dxa"/>
                                <w:left w:w="108" w:type="dxa"/>
                                <w:bottom w:w="0" w:type="dxa"/>
                                <w:right w:w="108" w:type="dxa"/>
                              </w:tblCellMar>
                            </w:tblPr>
                            <w:tblGrid>
                              <w:gridCol w:w="1265"/>
                              <w:gridCol w:w="1266"/>
                            </w:tblGrid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381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评定成绩</w:t>
                                  </w: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  <w:rPr>
                                      <w:rFonts w:eastAsia="仿宋_GB2312"/>
                                      <w:b/>
                                      <w:bCs/>
                                      <w:sz w:val="24"/>
                                    </w:rPr>
                                  </w:pPr>
                                  <w:r>
                                    <w:rPr>
                                      <w:rFonts w:hint="eastAsia" w:eastAsia="仿宋_GB2312"/>
                                      <w:b/>
                                      <w:bCs/>
                                      <w:sz w:val="24"/>
                                    </w:rPr>
                                    <w:t>指导教师</w:t>
                                  </w:r>
                                </w:p>
                              </w:tc>
                            </w:tr>
                            <w:tr>
                              <w:tblPrEx>
                                <w:tblBorders>
                                  <w:top w:val="single" w:color="auto" w:sz="4" w:space="0"/>
                                  <w:left w:val="single" w:color="auto" w:sz="4" w:space="0"/>
                                  <w:bottom w:val="single" w:color="auto" w:sz="4" w:space="0"/>
                                  <w:right w:val="single" w:color="auto" w:sz="4" w:space="0"/>
                                  <w:insideH w:val="none" w:color="auto" w:sz="0" w:space="0"/>
                                  <w:insideV w:val="none" w:color="auto" w:sz="0" w:space="0"/>
                                </w:tblBorders>
                                <w:tblCellMar>
                                  <w:top w:w="0" w:type="dxa"/>
                                  <w:left w:w="108" w:type="dxa"/>
                                  <w:bottom w:w="0" w:type="dxa"/>
                                  <w:right w:w="108" w:type="dxa"/>
                                </w:tblCellMar>
                              </w:tblPrEx>
                              <w:trPr>
                                <w:trHeight w:val="469" w:hRule="atLeast"/>
                                <w:jc w:val="center"/>
                              </w:trPr>
                              <w:tc>
                                <w:tcPr>
                                  <w:tcW w:w="1265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  <w:tc>
                                <w:tcPr>
                                  <w:tcW w:w="1266" w:type="dxa"/>
                                  <w:tcBorders>
                                    <w:top w:val="single" w:color="auto" w:sz="4" w:space="0"/>
                                    <w:left w:val="single" w:color="auto" w:sz="4" w:space="0"/>
                                    <w:bottom w:val="single" w:color="auto" w:sz="4" w:space="0"/>
                                    <w:right w:val="single" w:color="auto" w:sz="4" w:space="0"/>
                                  </w:tcBorders>
                                  <w:noWrap w:val="0"/>
                                  <w:vAlign w:val="center"/>
                                </w:tcPr>
                                <w:p>
                                  <w:pPr>
                                    <w:jc w:val="center"/>
                                  </w:pPr>
                                </w:p>
                              </w:tc>
                            </w:tr>
                          </w:tbl>
                          <w:p/>
                        </w:txbxContent>
                      </wps:txbx>
                      <wps:bodyPr lIns="0" tIns="0" rIns="0" bIns="0" upright="1"/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9.1pt;margin-top:30.45pt;height:46.05pt;width:139.5pt;z-index:251659264;mso-width-relative:page;mso-height-relative:page;" filled="f" stroked="f" coordsize="21600,21600" o:gfxdata="UEsDBAoAAAAAAIdO4kAAAAAAAAAAAAAAAAAEAAAAZHJzL1BLAwQUAAAACACHTuJAlsGRCtgAAAAK&#10;AQAADwAAAGRycy9kb3ducmV2LnhtbE2PTU/DMAyG70j8h8hI3FiyTS1daTohBCckRFcOHNPWa6M1&#10;TmmyD/495gRH249eP2+xvbhRnHAO1pOG5UKBQGp9Z6nX8FG/3GUgQjTUmdETavjGANvy+qoweefP&#10;VOFpF3vBIRRyo2GIccqlDO2AzoSFn5D4tvezM5HHuZfdbM4c7ka5UiqVzljiD4OZ8GnA9rA7Og2P&#10;n1Q926+35r3aV7auN4pe04PWtzdL9QAi4iX+wfCrz+pQslPjj9QFMWpIkmzFqIZUbUAwkK3vedEw&#10;mawVyLKQ/yuUP1BLAwQUAAAACACHTuJALJHCGrsBAAByAwAADgAAAGRycy9lMm9Eb2MueG1srVNL&#10;btswEN0X6B0I7mvaaZ0YguUAgZGiQNEWSHIAmiItAvyBQ1vyBdobdNVN9z2Xz9EhJTtpuskiG2o4&#10;M3zz3iO1vO6tIXsZQXtX09lkSol0wjfabWv6cH/7bkEJJO4abryTNT1IoNert2+WXajkhW+9aWQk&#10;COKg6kJN25RCxRiIVloOEx+kw6Ly0fKE27hlTeQdolvDLqbTS9b52ITohQTA7Hoo0hExvgTQK6WF&#10;XHuxs9KlATVKwxNKglYHoKvCVikp0lelQCZiaopKU1lxCMabvLLVklfbyEOrxUiBv4TCM02Wa4dD&#10;z1BrnjjZRf0flNUievAqTYS3bBBSHEEVs+kzb+5aHmTRglZDOJsOrwcrvuy/RaIbfAmUOG7xwo8/&#10;fxx//Tn+/k5m2Z4uQIVddwH7Un/j+9w65gGTWXWvos1f1EOwjuYezubKPhGRD11dzS7nWBJYmy8+&#10;LN7PMwx7PB0ipI/SW5KDmka8vOIp33+GNLSeWvIw52+1MZjnlXH/JBAzZ1imPlDMUeo3/ch745sD&#10;yjGfHFqZn8UpiKdgcwp2Iepti3SK6AKJV1F4j88m3/XTfRn8+Kus/gJQSwMECgAAAAAAh07iQAAA&#10;AAAAAAAAAAAAAAYAAABfcmVscy9QSwMEFAAAAAgAh07iQIoUZjzRAAAAlAEAAAsAAABfcmVscy8u&#10;cmVsc6WQwWrDMAyG74O9g9F9cZrDGKNOL6PQa+kewNiKYxpbRjLZ+vbzDoNl9LajfqHvE//+8JkW&#10;tSJLpGxg1/WgMDvyMQcD75fj0wsoqTZ7u1BGAzcUOIyPD/szLra2I5ljEdUoWQzMtZZXrcXNmKx0&#10;VDC3zUScbG0jB12su9qAeuj7Z82/GTBumOrkDfDJD6Aut9LMf9gpOiahqXaOkqZpiu4eVQe2ZY7u&#10;yDbhG7lGsxywGvAsGgdqWdd+BH1fv/un3tNHPuO61X6HjOuPV2+6HL8AUEsDBBQAAAAIAIdO4kB+&#10;5uUg9wAAAOEBAAATAAAAW0NvbnRlbnRfVHlwZXNdLnhtbJWRQU7DMBBF90jcwfIWJU67QAgl6YK0&#10;S0CoHGBkTxKLZGx5TGhvj5O2G0SRWNoz/78nu9wcxkFMGNg6quQqL6RA0s5Y6ir5vt9lD1JwBDIw&#10;OMJKHpHlpr69KfdHjyxSmriSfYz+USnWPY7AufNIadK6MEJMx9ApD/oDOlTrorhX2lFEilmcO2Rd&#10;NtjC5xDF9pCuTyYBB5bi6bQ4syoJ3g9WQ0ymaiLzg5KdCXlKLjvcW893SUOqXwnz5DrgnHtJTxOs&#10;QfEKIT7DmDSUCayM+6KAU/53yWw5cuba1mrMm8BNir3hdLG61o5r1zj93/Ltkrp0q+WD6m9QSwEC&#10;FAAUAAAACACHTuJAfublIPcAAADhAQAAEwAAAAAAAAABACAAAAAsBAAAW0NvbnRlbnRfVHlwZXNd&#10;LnhtbFBLAQIUAAoAAAAAAIdO4kAAAAAAAAAAAAAAAAAGAAAAAAAAAAAAEAAAAA4DAABfcmVscy9Q&#10;SwECFAAUAAAACACHTuJAihRmPNEAAACUAQAACwAAAAAAAAABACAAAAAyAwAAX3JlbHMvLnJlbHNQ&#10;SwECFAAKAAAAAACHTuJAAAAAAAAAAAAAAAAABAAAAAAAAAAAABAAAAAAAAAAZHJzL1BLAQIUABQA&#10;AAAIAIdO4kCWwZEK2AAAAAoBAAAPAAAAAAAAAAEAIAAAACIAAABkcnMvZG93bnJldi54bWxQSwEC&#10;FAAUAAAACACHTuJALJHCGrsBAAByAwAADgAAAAAAAAABACAAAAAnAQAAZHJzL2Uyb0RvYy54bWxQ&#10;SwUGAAAAAAYABgBZAQAAVAUAAAAA&#10;">
                <v:fill on="f" focussize="0,0"/>
                <v:stroke on="f"/>
                <v:imagedata o:title=""/>
                <o:lock v:ext="edit" aspectratio="f"/>
                <v:textbox inset="0mm,0mm,0mm,0mm">
                  <w:txbxContent>
                    <w:tbl>
                      <w:tblPr>
                        <w:tblStyle w:val="4"/>
                        <w:tblW w:w="0" w:type="auto"/>
                        <w:jc w:val="center"/>
                        <w:tblBorders>
                          <w:top w:val="single" w:color="auto" w:sz="4" w:space="0"/>
                          <w:left w:val="single" w:color="auto" w:sz="4" w:space="0"/>
                          <w:bottom w:val="single" w:color="auto" w:sz="4" w:space="0"/>
                          <w:right w:val="single" w:color="auto" w:sz="4" w:space="0"/>
                          <w:insideH w:val="none" w:color="auto" w:sz="0" w:space="0"/>
                          <w:insideV w:val="none" w:color="auto" w:sz="0" w:space="0"/>
                        </w:tblBorders>
                        <w:tblLayout w:type="autofit"/>
                        <w:tblCellMar>
                          <w:top w:w="0" w:type="dxa"/>
                          <w:left w:w="108" w:type="dxa"/>
                          <w:bottom w:w="0" w:type="dxa"/>
                          <w:right w:w="108" w:type="dxa"/>
                        </w:tblCellMar>
                      </w:tblPr>
                      <w:tblGrid>
                        <w:gridCol w:w="1265"/>
                        <w:gridCol w:w="1266"/>
                      </w:tblGrid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381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评定成绩</w:t>
                            </w: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  <w:rPr>
                                <w:rFonts w:eastAsia="仿宋_GB2312"/>
                                <w:b/>
                                <w:bCs/>
                                <w:sz w:val="24"/>
                              </w:rPr>
                            </w:pPr>
                            <w:r>
                              <w:rPr>
                                <w:rFonts w:hint="eastAsia" w:eastAsia="仿宋_GB2312"/>
                                <w:b/>
                                <w:bCs/>
                                <w:sz w:val="24"/>
                              </w:rPr>
                              <w:t>指导教师</w:t>
                            </w:r>
                          </w:p>
                        </w:tc>
                      </w:tr>
                      <w:tr>
                        <w:tblPrEx>
                          <w:tblBorders>
                            <w:top w:val="single" w:color="auto" w:sz="4" w:space="0"/>
                            <w:left w:val="single" w:color="auto" w:sz="4" w:space="0"/>
                            <w:bottom w:val="single" w:color="auto" w:sz="4" w:space="0"/>
                            <w:right w:val="single" w:color="auto" w:sz="4" w:space="0"/>
                            <w:insideH w:val="none" w:color="auto" w:sz="0" w:space="0"/>
                            <w:insideV w:val="none" w:color="auto" w:sz="0" w:space="0"/>
                          </w:tblBorders>
                          <w:tblCellMar>
                            <w:top w:w="0" w:type="dxa"/>
                            <w:left w:w="108" w:type="dxa"/>
                            <w:bottom w:w="0" w:type="dxa"/>
                            <w:right w:w="108" w:type="dxa"/>
                          </w:tblCellMar>
                        </w:tblPrEx>
                        <w:trPr>
                          <w:trHeight w:val="469" w:hRule="atLeast"/>
                          <w:jc w:val="center"/>
                        </w:trPr>
                        <w:tc>
                          <w:tcPr>
                            <w:tcW w:w="1265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  <w:tc>
                          <w:tcPr>
                            <w:tcW w:w="1266" w:type="dxa"/>
                            <w:tcBorders>
                              <w:top w:val="single" w:color="auto" w:sz="4" w:space="0"/>
                              <w:left w:val="single" w:color="auto" w:sz="4" w:space="0"/>
                              <w:bottom w:val="single" w:color="auto" w:sz="4" w:space="0"/>
                              <w:right w:val="single" w:color="auto" w:sz="4" w:space="0"/>
                            </w:tcBorders>
                            <w:noWrap w:val="0"/>
                            <w:vAlign w:val="center"/>
                          </w:tcPr>
                          <w:p>
                            <w:pPr>
                              <w:jc w:val="center"/>
                            </w:pPr>
                          </w:p>
                        </w:tc>
                      </w:tr>
                    </w:tbl>
                    <w:p/>
                  </w:txbxContent>
                </v:textbox>
              </v:shape>
            </w:pict>
          </mc:Fallback>
        </mc:AlternateContent>
      </w: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实验课程：</w:t>
      </w:r>
      <w:r>
        <w:rPr>
          <w:rFonts w:hint="eastAsia" w:ascii="宋体" w:hAnsi="宋体" w:cs="宋体"/>
          <w:sz w:val="24"/>
          <w:u w:val="single"/>
          <w:lang w:val="en-US" w:eastAsia="zh-CN"/>
        </w:rPr>
        <w:t xml:space="preserve"> 网络协议与分析 </w:t>
      </w:r>
      <w:r>
        <w:rPr>
          <w:rFonts w:hint="eastAsia" w:ascii="华文中宋" w:hAnsi="华文中宋" w:eastAsia="华文中宋"/>
          <w:b/>
          <w:bCs/>
          <w:sz w:val="24"/>
          <w:u w:val="single"/>
        </w:rPr>
        <w:t xml:space="preserve">                 </w:t>
      </w:r>
    </w:p>
    <w:p>
      <w:pPr>
        <w:spacing w:line="360" w:lineRule="auto"/>
        <w:ind w:left="-6" w:leftChars="-3"/>
        <w:rPr>
          <w:rFonts w:hint="eastAsia" w:ascii="华文中宋" w:hAnsi="华文中宋" w:eastAsia="华文中宋"/>
          <w:sz w:val="24"/>
          <w:u w:val="single"/>
        </w:rPr>
      </w:pPr>
      <w:r>
        <w:rPr>
          <w:rFonts w:hint="eastAsia" w:eastAsia="仿宋_GB2312"/>
          <w:b/>
          <w:bCs/>
          <w:sz w:val="24"/>
        </w:rPr>
        <w:t>实验名称：</w:t>
      </w:r>
      <w:r>
        <w:rPr>
          <w:rFonts w:ascii="华文中宋" w:hAnsi="华文中宋" w:eastAsia="华文中宋"/>
          <w:b/>
          <w:bCs/>
          <w:i/>
          <w:iCs/>
          <w:sz w:val="24"/>
          <w:u w:val="single"/>
        </w:rPr>
        <w:t xml:space="preserve"> </w:t>
      </w:r>
      <w:r>
        <w:rPr>
          <w:rFonts w:hint="eastAsia" w:ascii="宋体" w:hAnsi="宋体" w:eastAsia="宋体" w:cs="宋体"/>
          <w:sz w:val="24"/>
          <w:u w:val="single"/>
          <w:lang w:val="en-US" w:eastAsia="zh-CN"/>
        </w:rPr>
        <w:t xml:space="preserve">UDP广播与接受-电子点名系统 </w:t>
      </w:r>
      <w:r>
        <w:rPr>
          <w:rFonts w:hint="eastAsia" w:ascii="华文中宋" w:hAnsi="华文中宋" w:eastAsia="华文中宋"/>
          <w:b/>
          <w:bCs/>
          <w:i/>
          <w:iCs/>
          <w:sz w:val="24"/>
          <w:u w:val="single"/>
        </w:rPr>
        <w:t xml:space="preserve">                     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bookmarkStart w:id="0" w:name="_GoBack"/>
      <w:bookmarkEnd w:id="0"/>
      <w:r>
        <w:rPr>
          <w:rFonts w:hint="eastAsia" w:ascii="黑体" w:eastAsia="黑体"/>
          <w:sz w:val="32"/>
          <w:szCs w:val="32"/>
        </w:rPr>
        <w:t>实验目的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掌握网络应用程序的开发方法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C</w:t>
      </w:r>
      <w:r>
        <w:rPr>
          <w:rFonts w:hint="eastAsia"/>
          <w:sz w:val="28"/>
          <w:szCs w:val="28"/>
        </w:rPr>
        <w:t>lient/ Server结构软件的设计与开发方法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/>
          <w:sz w:val="28"/>
          <w:szCs w:val="28"/>
        </w:rPr>
      </w:pPr>
      <w:r>
        <w:rPr>
          <w:rFonts w:hint="eastAsia"/>
          <w:sz w:val="28"/>
          <w:szCs w:val="28"/>
        </w:rPr>
        <w:t>掌握</w:t>
      </w:r>
      <w:r>
        <w:rPr>
          <w:sz w:val="28"/>
          <w:szCs w:val="28"/>
        </w:rPr>
        <w:t>Socket</w:t>
      </w:r>
      <w:r>
        <w:rPr>
          <w:rFonts w:hint="eastAsia"/>
          <w:sz w:val="28"/>
          <w:szCs w:val="28"/>
        </w:rPr>
        <w:t>机制的工作原理</w:t>
      </w:r>
    </w:p>
    <w:p>
      <w:pPr>
        <w:numPr>
          <w:ilvl w:val="1"/>
          <w:numId w:val="2"/>
        </w:numPr>
        <w:tabs>
          <w:tab w:val="left" w:pos="630"/>
        </w:tabs>
        <w:snapToGrid w:val="0"/>
        <w:spacing w:line="360" w:lineRule="auto"/>
        <w:ind w:left="0" w:firstLine="560" w:firstLineChars="200"/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/>
          <w:sz w:val="28"/>
          <w:szCs w:val="28"/>
        </w:rPr>
        <w:t>掌握UDP协议原理与广播机制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实验任务</w:t>
      </w:r>
    </w:p>
    <w:p>
      <w:pPr>
        <w:snapToGrid w:val="0"/>
        <w:spacing w:line="360" w:lineRule="auto"/>
        <w:ind w:firstLine="560" w:firstLineChars="200"/>
        <w:jc w:val="left"/>
        <w:rPr>
          <w:rFonts w:hint="eastAsia"/>
          <w:sz w:val="32"/>
          <w:szCs w:val="32"/>
        </w:rPr>
      </w:pPr>
      <w:r>
        <w:rPr>
          <w:rFonts w:hint="eastAsia"/>
          <w:sz w:val="28"/>
          <w:szCs w:val="28"/>
        </w:rPr>
        <w:t>在教师机（服务器）上发送UDP广播，要求所有学生机（客户端）接受点名，学生在收到点名信息后回复自己的学号、姓名以及所在的机器名。</w:t>
      </w:r>
    </w:p>
    <w:p>
      <w:pPr>
        <w:numPr>
          <w:ilvl w:val="0"/>
          <w:numId w:val="1"/>
        </w:numPr>
        <w:rPr>
          <w:rFonts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实验环境</w:t>
      </w:r>
    </w:p>
    <w:p>
      <w:pPr>
        <w:snapToGrid w:val="0"/>
        <w:spacing w:line="360" w:lineRule="auto"/>
        <w:ind w:firstLine="560" w:firstLineChars="200"/>
        <w:jc w:val="left"/>
        <w:rPr>
          <w:rFonts w:hint="eastAsia" w:ascii="黑体" w:eastAsia="黑体"/>
          <w:sz w:val="32"/>
          <w:szCs w:val="32"/>
        </w:rPr>
      </w:pPr>
      <w:r>
        <w:rPr>
          <w:rFonts w:hint="eastAsia"/>
          <w:sz w:val="28"/>
          <w:szCs w:val="28"/>
          <w:lang w:val="en-US" w:eastAsia="zh-CN"/>
        </w:rPr>
        <w:t>Win10+visual studio2019</w:t>
      </w:r>
    </w:p>
    <w:p>
      <w:pPr>
        <w:numPr>
          <w:ilvl w:val="0"/>
          <w:numId w:val="1"/>
        </w:numPr>
        <w:rPr>
          <w:rFonts w:hint="eastAsia" w:ascii="黑体" w:eastAsia="黑体"/>
          <w:sz w:val="32"/>
          <w:szCs w:val="32"/>
        </w:rPr>
      </w:pPr>
      <w:r>
        <w:rPr>
          <w:rFonts w:hint="eastAsia" w:ascii="黑体" w:eastAsia="黑体"/>
          <w:sz w:val="32"/>
          <w:szCs w:val="32"/>
        </w:rPr>
        <w:t>实验内容</w:t>
      </w:r>
    </w:p>
    <w:p>
      <w:pPr>
        <w:numPr>
          <w:ilvl w:val="0"/>
          <w:numId w:val="0"/>
        </w:numPr>
        <w:ind w:leftChars="0"/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服务器端</w:t>
      </w:r>
      <w:r>
        <w:rPr>
          <w:rFonts w:hint="eastAsia" w:ascii="宋体" w:hAnsi="宋体" w:cs="宋体"/>
          <w:sz w:val="24"/>
          <w:szCs w:val="24"/>
          <w:lang w:val="en-US" w:eastAsia="zh-CN"/>
        </w:rPr>
        <w:t>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"Winsock2.h""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 "stdio.h"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"string.h"'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#pragma comment(lib, "wsock32.lib")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#define RECV_PORT 3000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#define SEND_PORT 3001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SOCKET sock;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SOCKET ServerSock;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sockaddr_in ServerAddr;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sockaddr_in broadAddr;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WSADATA WSAData;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(WSAStartup(MAKEWORD(2, 2), &amp;WSAData) != 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"套接字初始化失败!\n"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sock = socket(AF_INET, SOCK_DGRAM, 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(sock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"套接字创建失败!\n"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WSACleanup();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ServerSock = socket(AF_INET, SOCK_DGRAM, 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(ServerSock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"套接字创建失败!\n"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WSACleanup();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memset(&amp;ServerAddr, 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(ServerAddr));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ServerAddr.sin_family = AF_INET;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ServerAddr.sin_addr.s_addr = inet_addr(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"10.210.225.191"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ServerAddr.sin_port = htons(RECV_PORT);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memset(&amp;broadAddr,0,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(broadAddr));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broadAddr.sin_family = AF_INET;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broadAddr.sin_addr.s_addr = inet_addr(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"255.255.255.255"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"广播地址: %s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inet_ntoa(broadAddr.sin_addr));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broadAddr.sin_port = htons(SEND_PORT);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bool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bBroadcast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 = setsockopt(sock, SOL_SOCKET, SO_BROADCAST,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*)&amp;bBroadcast,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(bBroadcast));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opt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(bBroadcast);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getsockopt(sock, SOL_SOCKET, SO_BROADCAST,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*)&amp;bBroadcast, &amp;opt);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(bBroadcast ==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true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"\n测试是否可以广播: 是\n"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"\n测试是否可以广播: 否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buf[1024]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"/name:开始点名！\0"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n = sendto(sock, buf, strlen(buf) + 1, 0,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const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sockaddr*)&amp;broadAddr,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(broadAddr));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"广播数据错误!\n"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"错误代码:%d\n"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WSAGetLastError());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"\n发送广播数据:\"%s\" 成功! \n\n"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buf);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(bind(ServerSock,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sockaddr*)&amp;ServerAddr,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(ServerAddr))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"绑定失败!\n"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"错误代码:%d\n"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WSAGetLastError());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closesocket(ServerSock);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getchar();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"绑定成功！开始接受来自客户端的数据...\n"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sockaddr_in ClientAddr;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memset(&amp;buf,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(buf));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memset(&amp;ClientAddr, 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(ClientAddr));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(ClientAddr);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n = recvfrom(ServerSock, buf,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(buf), 0,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sockaddr*)&amp;ClientAddr, &amp;n);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!=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"\n 接受远程主机 %s 传回的数据：%s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inet_ntoa(ClientAddr.sin_addr), buf);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closesocket(sock);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closesocket(ServerSock);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WSACleanup();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40"/>
          <w:lang w:val="en-US" w:eastAsia="zh-CN"/>
        </w:rPr>
      </w:pPr>
    </w:p>
    <w:p>
      <w:pPr>
        <w:numPr>
          <w:ilvl w:val="0"/>
          <w:numId w:val="0"/>
        </w:numPr>
        <w:ind w:leftChars="0"/>
        <w:rPr>
          <w:rFonts w:hint="eastAsia" w:ascii="宋体" w:hAnsi="宋体" w:eastAsia="宋体" w:cs="宋体"/>
          <w:color w:val="000000"/>
          <w:sz w:val="24"/>
          <w:szCs w:val="40"/>
          <w:lang w:val="en-US" w:eastAsia="zh-CN"/>
        </w:rPr>
      </w:pPr>
      <w:r>
        <w:rPr>
          <w:rFonts w:hint="eastAsia" w:ascii="宋体" w:hAnsi="宋体" w:eastAsia="宋体" w:cs="宋体"/>
          <w:color w:val="000000"/>
          <w:sz w:val="24"/>
          <w:szCs w:val="40"/>
          <w:lang w:val="en-US" w:eastAsia="zh-CN"/>
        </w:rPr>
        <w:t>客户端代码实现：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"Winsock2.h""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#include "stdio.h"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#include "string.h"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#pragma comment(lib, "wsock32.lib")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8F8F8"/>
        </w:rPr>
        <w:t>#define RECV_PORT 3001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808080"/>
          <w:spacing w:val="0"/>
          <w:sz w:val="14"/>
          <w:szCs w:val="14"/>
          <w:shd w:val="clear" w:fill="FFFFFF"/>
        </w:rPr>
        <w:t>#define SEND_PORT 3000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SOCKET sock;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sockaddr_in ServerAddr;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sockaddr_in ClientAddr;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void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main()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n;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WSADATA WSAData;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(WSAStartup(MAKEWORD(2, 2), &amp;WSAData) != 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"套接字初始化失败!\n"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sock = socket(AF_INET, SOCK_DGRAM, 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(sock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"套接字创建成功!\n"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WSACleanup();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memset(&amp;ClientAddr, 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(ClientAddr));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ClientAddr.sin_family = AF_INET;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ClientAddr.sin_addr.s_addr = inet_addr(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"10.210.225.191"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ClientAddr.sin_port = htons(RECV_PORT);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n = bind(sock,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sockaddr*)&amp;ClientAddr,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(ClientAddr));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"绑定失败!\n"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return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"绑定成功!\n"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char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buf[1024] =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"\0"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8F8F8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len;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"开始接受数据...\n"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while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(1)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memset(&amp;buf,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(buf));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memset(&amp;ServerAddr, 0,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(ServerAddr));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len =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(ServerAddr);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"开始接受数据...\n"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n = recvfrom(sock, buf,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(buf), 0,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sockaddr *)&amp;ServerAddr,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2E8B57"/>
          <w:spacing w:val="0"/>
          <w:sz w:val="14"/>
          <w:szCs w:val="14"/>
          <w:shd w:val="clear" w:fill="FFFFFF"/>
        </w:rPr>
        <w:t>int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*)&amp;len);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(n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 获取广播数据失败! \n'"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"\n 错误代码: %d\n"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WSAGetLastError());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8F8F8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"\n 获取广播数据: \" % s\" 来自 %s 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, buf, inet_ntoa(ServerAddr.sin_addr));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(strcmp(buf,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"/nane"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 &gt;= 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ServerAddr.sin_family = AF_INET;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ServerAddr.sin_addr.s_addr = inet_addr(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"10.210.225.191"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ServerAddr.sin_port = htons(SEND_PORT);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memset(&amp;buf,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'\0'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(buf));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strcpy(buf, 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8F8F8"/>
        </w:rPr>
        <w:t>"20181685310031 张迈"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n = sendto(sock, buf, strlen(buf) + 1, 0, (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struct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sockaddr*)&amp;ServerAddr,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sizeof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(ServerAddr));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==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"发送失败!\n"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= 0)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"发送失败!\0"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else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</w:t>
      </w:r>
      <w:r>
        <w:rPr>
          <w:rFonts w:hint="default" w:ascii="Consolas" w:hAnsi="Consolas" w:eastAsia="Consolas" w:cs="Consolas"/>
          <w:b/>
          <w:bCs/>
          <w:i w:val="0"/>
          <w:iCs w:val="0"/>
          <w:caps w:val="0"/>
          <w:color w:val="006699"/>
          <w:spacing w:val="0"/>
          <w:sz w:val="14"/>
          <w:szCs w:val="14"/>
          <w:shd w:val="clear" w:fill="FFFFFF"/>
        </w:rPr>
        <w:t>if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(n != SOCKET_ERROR)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{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        printf(</w:t>
      </w:r>
      <w:r>
        <w:rPr>
          <w:rFonts w:hint="default" w:ascii="Consolas" w:hAnsi="Consolas" w:eastAsia="Consolas" w:cs="Consolas"/>
          <w:i w:val="0"/>
          <w:iCs w:val="0"/>
          <w:caps w:val="0"/>
          <w:color w:val="0000FF"/>
          <w:spacing w:val="0"/>
          <w:sz w:val="14"/>
          <w:szCs w:val="14"/>
          <w:shd w:val="clear" w:fill="FFFFFF"/>
        </w:rPr>
        <w:t>"发送成功!\n"</w:t>
      </w: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    Sleep(1000);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}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getchar();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    closesocket(sock);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FFFFF"/>
        <w:spacing w:before="0" w:beforeAutospacing="0" w:after="0" w:afterAutospacing="0" w:line="168" w:lineRule="atLeast"/>
        <w:ind w:left="180" w:leftChars="0" w:right="0" w:rightChars="0"/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FFFFF"/>
        </w:rPr>
        <w:t>    WSACleanup();  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single" w:color="6CE26C" w:sz="12" w:space="6"/>
          <w:bottom w:val="none" w:color="auto" w:sz="0" w:space="0"/>
          <w:right w:val="none" w:color="auto" w:sz="0" w:space="0"/>
        </w:pBdr>
        <w:shd w:val="clear" w:fill="F8F8F8"/>
        <w:spacing w:before="0" w:beforeAutospacing="0" w:after="0" w:afterAutospacing="0" w:line="168" w:lineRule="atLeast"/>
        <w:ind w:left="180" w:leftChars="0" w:right="0" w:rightChars="0"/>
        <w:rPr>
          <w:color w:val="5C5C5C"/>
        </w:rPr>
      </w:pPr>
      <w:r>
        <w:rPr>
          <w:rFonts w:hint="default" w:ascii="Consolas" w:hAnsi="Consolas" w:eastAsia="Consolas" w:cs="Consolas"/>
          <w:i w:val="0"/>
          <w:iCs w:val="0"/>
          <w:caps w:val="0"/>
          <w:color w:val="000000"/>
          <w:spacing w:val="0"/>
          <w:sz w:val="14"/>
          <w:szCs w:val="14"/>
          <w:shd w:val="clear" w:fill="F8F8F8"/>
        </w:rPr>
        <w:t>}  </w:t>
      </w:r>
    </w:p>
    <w:p>
      <w:r>
        <w:drawing>
          <wp:inline distT="0" distB="0" distL="114300" distR="114300">
            <wp:extent cx="5287010" cy="2108835"/>
            <wp:effectExtent l="0" t="0" r="1270" b="952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87010" cy="2108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5285105" cy="2206625"/>
            <wp:effectExtent l="0" t="0" r="3175" b="3175"/>
            <wp:docPr id="4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3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85105" cy="2206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/>
        </w:rPr>
      </w:pPr>
    </w:p>
    <w:p>
      <w:pPr>
        <w:rPr>
          <w:rFonts w:hint="eastAsia"/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五、实验总结</w:t>
      </w:r>
    </w:p>
    <w:p>
      <w:pPr>
        <w:ind w:firstLine="420" w:firstLineChars="200"/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通过本次实验，我掌握了基于UDP广播服务器端客户端收发消息的机制，掌握了UDP协议原理与广播机制。UDP 为用户数据包协议，它的头为8byte数据；分别为16bit源端口号，16bit目的端口号，16bit长度，16bit校验和；它为无连接，主要用于视频传输相关的应用； 它不需像TCP 那样，在发送数据前需建立连接。</w:t>
      </w:r>
    </w:p>
    <w:sectPr>
      <w:footerReference r:id="rId6" w:type="first"/>
      <w:headerReference r:id="rId3" w:type="default"/>
      <w:footerReference r:id="rId4" w:type="default"/>
      <w:footerReference r:id="rId5" w:type="even"/>
      <w:pgSz w:w="11164" w:h="15485"/>
      <w:pgMar w:top="1134" w:right="1418" w:bottom="1134" w:left="1418" w:header="851" w:footer="851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华文中宋">
    <w:panose1 w:val="02010600040101010101"/>
    <w:charset w:val="86"/>
    <w:family w:val="auto"/>
    <w:pitch w:val="default"/>
    <w:sig w:usb0="00000287" w:usb1="080F0000" w:usb2="00000000" w:usb3="00000000" w:csb0="0004009F" w:csb1="DFD7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separate"/>
    </w:r>
    <w:r>
      <w:rPr>
        <w:rStyle w:val="6"/>
      </w:rPr>
      <w:t>1</w:t>
    </w:r>
    <w:r>
      <w:rPr>
        <w:rStyle w:val="6"/>
      </w:rPr>
      <w:fldChar w:fldCharType="end"/>
    </w:r>
  </w:p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framePr w:wrap="around" w:vAnchor="text" w:hAnchor="margin" w:xAlign="center" w:y="1"/>
      <w:rPr>
        <w:rStyle w:val="6"/>
      </w:rPr>
    </w:pPr>
    <w:r>
      <w:rPr>
        <w:rStyle w:val="6"/>
      </w:rPr>
      <w:fldChar w:fldCharType="begin"/>
    </w:r>
    <w:r>
      <w:rPr>
        <w:rStyle w:val="6"/>
      </w:rPr>
      <w:instrText xml:space="preserve">PAGE  </w:instrText>
    </w:r>
    <w:r>
      <w:rPr>
        <w:rStyle w:val="6"/>
      </w:rPr>
      <w:fldChar w:fldCharType="end"/>
    </w:r>
  </w:p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jc w:val="center"/>
      <w:rPr>
        <w:rFonts w:hint="eastAsia"/>
        <w:sz w:val="21"/>
      </w:rPr>
    </w:pPr>
    <w:r>
      <w:rPr>
        <w:rFonts w:hint="eastAsia"/>
        <w:sz w:val="21"/>
      </w:rPr>
      <w:t>第   页</w: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rPr>
        <w:rFonts w:hint="eastAsia" w:eastAsia="仿宋_GB2312"/>
        <w:b/>
        <w:bCs/>
        <w:sz w:val="24"/>
      </w:rPr>
    </w:pPr>
    <w:r>
      <w:rPr>
        <w:rFonts w:hint="eastAsia" w:eastAsia="仿宋_GB2312"/>
        <w:b/>
        <w:bCs/>
        <w:sz w:val="24"/>
      </w:rPr>
      <w:t>海南大学计算机与网络空间安全学院  实验报告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36DB27B7"/>
    <w:multiLevelType w:val="multilevel"/>
    <w:tmpl w:val="36DB27B7"/>
    <w:lvl w:ilvl="0" w:tentative="0">
      <w:start w:val="1"/>
      <w:numFmt w:val="bullet"/>
      <w:lvlText w:val=""/>
      <w:lvlJc w:val="left"/>
      <w:pPr>
        <w:tabs>
          <w:tab w:val="left" w:pos="780"/>
        </w:tabs>
        <w:ind w:left="733" w:hanging="313"/>
      </w:pPr>
      <w:rPr>
        <w:rFonts w:hint="default" w:ascii="Wingdings" w:hAnsi="Wingdings" w:eastAsia="宋体"/>
        <w:sz w:val="18"/>
      </w:rPr>
    </w:lvl>
    <w:lvl w:ilvl="1" w:tentative="0">
      <w:start w:val="1"/>
      <w:numFmt w:val="decimal"/>
      <w:lvlText w:val="%2)"/>
      <w:lvlJc w:val="left"/>
      <w:pPr>
        <w:tabs>
          <w:tab w:val="left" w:pos="840"/>
        </w:tabs>
        <w:ind w:left="840" w:hanging="420"/>
      </w:pPr>
      <w:rPr>
        <w:rFonts w:hint="default"/>
        <w:sz w:val="18"/>
      </w:rPr>
    </w:lvl>
    <w:lvl w:ilvl="2" w:tentative="0">
      <w:start w:val="3"/>
      <w:numFmt w:val="decimal"/>
      <w:lvlText w:val="%3）"/>
      <w:lvlJc w:val="left"/>
      <w:pPr>
        <w:ind w:left="1200" w:hanging="360"/>
      </w:pPr>
      <w:rPr>
        <w:rFonts w:hint="default"/>
        <w:b/>
      </w:rPr>
    </w:lvl>
    <w:lvl w:ilvl="3" w:tentative="0">
      <w:start w:val="1"/>
      <w:numFmt w:val="bullet"/>
      <w:lvlText w:val=""/>
      <w:lvlJc w:val="left"/>
      <w:pPr>
        <w:tabs>
          <w:tab w:val="left" w:pos="1680"/>
        </w:tabs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tabs>
          <w:tab w:val="left" w:pos="2100"/>
        </w:tabs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tabs>
          <w:tab w:val="left" w:pos="2520"/>
        </w:tabs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tabs>
          <w:tab w:val="left" w:pos="2940"/>
        </w:tabs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tabs>
          <w:tab w:val="left" w:pos="3360"/>
        </w:tabs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tabs>
          <w:tab w:val="left" w:pos="3780"/>
        </w:tabs>
        <w:ind w:left="3780" w:hanging="420"/>
      </w:pPr>
      <w:rPr>
        <w:rFonts w:hint="default" w:ascii="Wingdings" w:hAnsi="Wingdings"/>
      </w:rPr>
    </w:lvl>
  </w:abstractNum>
  <w:abstractNum w:abstractNumId="1">
    <w:nsid w:val="5C5A38C7"/>
    <w:multiLevelType w:val="multilevel"/>
    <w:tmpl w:val="5C5A38C7"/>
    <w:lvl w:ilvl="0" w:tentative="0">
      <w:start w:val="1"/>
      <w:numFmt w:val="japaneseCounting"/>
      <w:lvlText w:val="%1、"/>
      <w:lvlJc w:val="left"/>
      <w:pPr>
        <w:ind w:left="720" w:hanging="72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MzdjNzE4ZTU3NGE2YzdlYWZiZTIxOTU1Y2Q3NzViNjMifQ=="/>
  </w:docVars>
  <w:rsids>
    <w:rsidRoot w:val="00172A27"/>
    <w:rsid w:val="16E3208C"/>
    <w:rsid w:val="27396CA0"/>
    <w:rsid w:val="43857D35"/>
    <w:rsid w:val="55556E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qFormat/>
    <w:uiPriority w:val="0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page number"/>
    <w:basedOn w:val="5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8" Type="http://schemas.openxmlformats.org/officeDocument/2006/relationships/image" Target="media/image1.png"/><Relationship Id="rId7" Type="http://schemas.openxmlformats.org/officeDocument/2006/relationships/theme" Target="theme/theme1.xml"/><Relationship Id="rId6" Type="http://schemas.openxmlformats.org/officeDocument/2006/relationships/footer" Target="footer3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2" Type="http://schemas.openxmlformats.org/officeDocument/2006/relationships/fontTable" Target="fontTable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7</Pages>
  <Words>981</Words>
  <Characters>3963</Characters>
  <Lines>0</Lines>
  <Paragraphs>0</Paragraphs>
  <TotalTime>275</TotalTime>
  <ScaleCrop>false</ScaleCrop>
  <LinksUpToDate>false</LinksUpToDate>
  <CharactersWithSpaces>5852</CharactersWithSpaces>
  <Application>WPS Office_11.1.0.11691_F1E327BC-269C-435d-A152-05C5408002CA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2021-05-16T13:03:00Z</dcterms:created>
  <dc:creator>晚浪</dc:creator>
  <cp:lastModifiedBy>晚浪</cp:lastModifiedBy>
  <dcterms:modified xsi:type="dcterms:W3CDTF">2022-05-09T08:51:10Z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2052-11.1.0.11691</vt:lpwstr>
  </property>
  <property fmtid="{D5CDD505-2E9C-101B-9397-08002B2CF9AE}" pid="3" name="ICV">
    <vt:lpwstr>C007948D71C0400CB054412875286C8E</vt:lpwstr>
  </property>
</Properties>
</file>