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color w:val="1F4E5F"/>
          <w:sz w:val="34"/>
          <w:szCs w:val="34"/>
        </w:rPr>
        <w:t>GBS SERVICE HEALTH DASHBOARD</w:t>
      </w:r>
    </w:p>
    <w:p>
      <w:pPr>
        <w:pStyle w:val="Normal"/>
        <w:spacing w:before="0" w:after="60"/>
        <w:rPr/>
      </w:pPr>
      <w:r>
        <w:rPr>
          <w:color w:val="595959"/>
          <w:sz w:val="26"/>
          <w:szCs w:val="26"/>
        </w:rPr>
        <w:t>Aruba Central API — Discovery Document</w:t>
      </w:r>
    </w:p>
    <w:p>
      <w:pPr>
        <w:pStyle w:val="Normal"/>
        <w:spacing w:before="0" w:after="300"/>
        <w:rPr/>
      </w:pPr>
      <w:r>
        <w:rPr>
          <w:i/>
          <w:iCs/>
          <w:color w:val="595959"/>
          <w:sz w:val="20"/>
          <w:szCs w:val="20"/>
        </w:rPr>
        <w:t>Wireless Health Pillar | Sprint 1 Deliverable D1.1</w:t>
      </w:r>
    </w:p>
    <w:tbl>
      <w:tblPr>
        <w:tblW w:w="9350" w:type="dxa"/>
        <w:jc w:val="start"/>
        <w:tblInd w:w="0" w:type="dxa"/>
        <w:tblLayout w:type="fixed"/>
        <w:tblCellMar>
          <w:top w:w="60" w:type="dxa"/>
          <w:start w:w="100" w:type="dxa"/>
          <w:bottom w:w="60" w:type="dxa"/>
          <w:end w:w="100" w:type="dxa"/>
        </w:tblCellMar>
      </w:tblPr>
      <w:tblGrid>
        <w:gridCol w:w="2600"/>
        <w:gridCol w:w="6750"/>
      </w:tblGrid>
      <w:tr>
        <w:trPr/>
        <w:tc>
          <w:tcPr>
            <w:tcW w:w="2600" w:type="dxa"/>
            <w:tcBorders>
              <w:top w:val="single" w:sz="4" w:space="0" w:color="D9D9D9"/>
              <w:start w:val="single" w:sz="4" w:space="0" w:color="D9D9D9"/>
              <w:bottom w:val="single" w:sz="4" w:space="0" w:color="D9D9D9"/>
              <w:end w:val="single" w:sz="4" w:space="0" w:color="D9D9D9"/>
            </w:tcBorders>
            <w:shd w:fill="D9E2E8" w:val="clear"/>
            <w:vAlign w:val="center"/>
          </w:tcPr>
          <w:p>
            <w:pPr>
              <w:pStyle w:val="Normal"/>
              <w:rPr/>
            </w:pPr>
            <w:r>
              <w:rPr>
                <w:b/>
                <w:bCs/>
                <w:i w:val="false"/>
                <w:iCs w:val="false"/>
                <w:sz w:val="19"/>
                <w:szCs w:val="19"/>
              </w:rPr>
              <w:t>Document Reference</w:t>
            </w:r>
          </w:p>
        </w:tc>
        <w:tc>
          <w:tcPr>
            <w:tcW w:w="6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GBS-DISC-ARUBA-v1.0</w:t>
            </w:r>
          </w:p>
        </w:tc>
      </w:tr>
      <w:tr>
        <w:trPr/>
        <w:tc>
          <w:tcPr>
            <w:tcW w:w="2600" w:type="dxa"/>
            <w:tcBorders>
              <w:top w:val="single" w:sz="4" w:space="0" w:color="D9D9D9"/>
              <w:start w:val="single" w:sz="4" w:space="0" w:color="D9D9D9"/>
              <w:bottom w:val="single" w:sz="4" w:space="0" w:color="D9D9D9"/>
              <w:end w:val="single" w:sz="4" w:space="0" w:color="D9D9D9"/>
            </w:tcBorders>
            <w:shd w:fill="D9E2E8" w:val="clear"/>
            <w:vAlign w:val="center"/>
          </w:tcPr>
          <w:p>
            <w:pPr>
              <w:pStyle w:val="Normal"/>
              <w:rPr/>
            </w:pPr>
            <w:r>
              <w:rPr>
                <w:b/>
                <w:bCs/>
                <w:i w:val="false"/>
                <w:iCs w:val="false"/>
                <w:sz w:val="19"/>
                <w:szCs w:val="19"/>
              </w:rPr>
              <w:t>Client Organisation</w:t>
            </w:r>
          </w:p>
        </w:tc>
        <w:tc>
          <w:tcPr>
            <w:tcW w:w="6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Protek</w:t>
            </w:r>
          </w:p>
        </w:tc>
      </w:tr>
      <w:tr>
        <w:trPr/>
        <w:tc>
          <w:tcPr>
            <w:tcW w:w="2600" w:type="dxa"/>
            <w:tcBorders>
              <w:top w:val="single" w:sz="4" w:space="0" w:color="D9D9D9"/>
              <w:start w:val="single" w:sz="4" w:space="0" w:color="D9D9D9"/>
              <w:bottom w:val="single" w:sz="4" w:space="0" w:color="D9D9D9"/>
              <w:end w:val="single" w:sz="4" w:space="0" w:color="D9D9D9"/>
            </w:tcBorders>
            <w:shd w:fill="D9E2E8" w:val="clear"/>
            <w:vAlign w:val="center"/>
          </w:tcPr>
          <w:p>
            <w:pPr>
              <w:pStyle w:val="Normal"/>
              <w:rPr/>
            </w:pPr>
            <w:r>
              <w:rPr>
                <w:b/>
                <w:bCs/>
                <w:i w:val="false"/>
                <w:iCs w:val="false"/>
                <w:sz w:val="19"/>
                <w:szCs w:val="19"/>
              </w:rPr>
              <w:t>Programme</w:t>
            </w:r>
          </w:p>
        </w:tc>
        <w:tc>
          <w:tcPr>
            <w:tcW w:w="6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GBS Service Health Dashboard Consolidation Initiative</w:t>
            </w:r>
          </w:p>
        </w:tc>
      </w:tr>
      <w:tr>
        <w:trPr/>
        <w:tc>
          <w:tcPr>
            <w:tcW w:w="2600" w:type="dxa"/>
            <w:tcBorders>
              <w:top w:val="single" w:sz="4" w:space="0" w:color="D9D9D9"/>
              <w:start w:val="single" w:sz="4" w:space="0" w:color="D9D9D9"/>
              <w:bottom w:val="single" w:sz="4" w:space="0" w:color="D9D9D9"/>
              <w:end w:val="single" w:sz="4" w:space="0" w:color="D9D9D9"/>
            </w:tcBorders>
            <w:shd w:fill="D9E2E8" w:val="clear"/>
            <w:vAlign w:val="center"/>
          </w:tcPr>
          <w:p>
            <w:pPr>
              <w:pStyle w:val="Normal"/>
              <w:rPr/>
            </w:pPr>
            <w:r>
              <w:rPr>
                <w:b/>
                <w:bCs/>
                <w:i w:val="false"/>
                <w:iCs w:val="false"/>
                <w:sz w:val="19"/>
                <w:szCs w:val="19"/>
              </w:rPr>
              <w:t>Related Deliverable</w:t>
            </w:r>
          </w:p>
        </w:tc>
        <w:tc>
          <w:tcPr>
            <w:tcW w:w="6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Sprint 1 — D1.1 (Statement of Work, Phase 2)</w:t>
            </w:r>
          </w:p>
        </w:tc>
      </w:tr>
      <w:tr>
        <w:trPr/>
        <w:tc>
          <w:tcPr>
            <w:tcW w:w="2600" w:type="dxa"/>
            <w:tcBorders>
              <w:top w:val="single" w:sz="4" w:space="0" w:color="D9D9D9"/>
              <w:start w:val="single" w:sz="4" w:space="0" w:color="D9D9D9"/>
              <w:bottom w:val="single" w:sz="4" w:space="0" w:color="D9D9D9"/>
              <w:end w:val="single" w:sz="4" w:space="0" w:color="D9D9D9"/>
            </w:tcBorders>
            <w:shd w:fill="D9E2E8" w:val="clear"/>
            <w:vAlign w:val="center"/>
          </w:tcPr>
          <w:p>
            <w:pPr>
              <w:pStyle w:val="Normal"/>
              <w:rPr/>
            </w:pPr>
            <w:r>
              <w:rPr>
                <w:b/>
                <w:bCs/>
                <w:i w:val="false"/>
                <w:iCs w:val="false"/>
                <w:sz w:val="19"/>
                <w:szCs w:val="19"/>
              </w:rPr>
              <w:t>Parent Documents</w:t>
            </w:r>
          </w:p>
        </w:tc>
        <w:tc>
          <w:tcPr>
            <w:tcW w:w="6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GBS-SOW-PHASE2-v1.0 | GBS-LLD-v1.0 | GBS-SOW-ARUBA-POC-v1.0</w:t>
            </w:r>
          </w:p>
        </w:tc>
      </w:tr>
      <w:tr>
        <w:trPr/>
        <w:tc>
          <w:tcPr>
            <w:tcW w:w="2600" w:type="dxa"/>
            <w:tcBorders>
              <w:top w:val="single" w:sz="4" w:space="0" w:color="D9D9D9"/>
              <w:start w:val="single" w:sz="4" w:space="0" w:color="D9D9D9"/>
              <w:bottom w:val="single" w:sz="4" w:space="0" w:color="D9D9D9"/>
              <w:end w:val="single" w:sz="4" w:space="0" w:color="D9D9D9"/>
            </w:tcBorders>
            <w:shd w:fill="D9E2E8" w:val="clear"/>
            <w:vAlign w:val="center"/>
          </w:tcPr>
          <w:p>
            <w:pPr>
              <w:pStyle w:val="Normal"/>
              <w:rPr/>
            </w:pPr>
            <w:r>
              <w:rPr>
                <w:b/>
                <w:bCs/>
                <w:i w:val="false"/>
                <w:iCs w:val="false"/>
                <w:sz w:val="19"/>
                <w:szCs w:val="19"/>
              </w:rPr>
              <w:t>Prepared By</w:t>
            </w:r>
          </w:p>
        </w:tc>
        <w:tc>
          <w:tcPr>
            <w:tcW w:w="6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Karthik Rajakumaran</w:t>
            </w:r>
          </w:p>
        </w:tc>
      </w:tr>
      <w:tr>
        <w:trPr/>
        <w:tc>
          <w:tcPr>
            <w:tcW w:w="2600" w:type="dxa"/>
            <w:tcBorders>
              <w:top w:val="single" w:sz="4" w:space="0" w:color="D9D9D9"/>
              <w:start w:val="single" w:sz="4" w:space="0" w:color="D9D9D9"/>
              <w:bottom w:val="single" w:sz="4" w:space="0" w:color="D9D9D9"/>
              <w:end w:val="single" w:sz="4" w:space="0" w:color="D9D9D9"/>
            </w:tcBorders>
            <w:shd w:fill="D9E2E8" w:val="clear"/>
            <w:vAlign w:val="center"/>
          </w:tcPr>
          <w:p>
            <w:pPr>
              <w:pStyle w:val="Normal"/>
              <w:rPr/>
            </w:pPr>
            <w:r>
              <w:rPr>
                <w:b/>
                <w:bCs/>
                <w:i w:val="false"/>
                <w:iCs w:val="false"/>
                <w:sz w:val="19"/>
                <w:szCs w:val="19"/>
              </w:rPr>
              <w:t>Classification</w:t>
            </w:r>
          </w:p>
        </w:tc>
        <w:tc>
          <w:tcPr>
            <w:tcW w:w="6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Confidential — Internal Use Only</w:t>
            </w:r>
          </w:p>
        </w:tc>
      </w:tr>
      <w:tr>
        <w:trPr/>
        <w:tc>
          <w:tcPr>
            <w:tcW w:w="2600" w:type="dxa"/>
            <w:tcBorders>
              <w:top w:val="single" w:sz="4" w:space="0" w:color="D9D9D9"/>
              <w:start w:val="single" w:sz="4" w:space="0" w:color="D9D9D9"/>
              <w:bottom w:val="single" w:sz="4" w:space="0" w:color="D9D9D9"/>
              <w:end w:val="single" w:sz="4" w:space="0" w:color="D9D9D9"/>
            </w:tcBorders>
            <w:shd w:fill="D9E2E8" w:val="clear"/>
            <w:vAlign w:val="center"/>
          </w:tcPr>
          <w:p>
            <w:pPr>
              <w:pStyle w:val="Normal"/>
              <w:rPr/>
            </w:pPr>
            <w:r>
              <w:rPr>
                <w:b/>
                <w:bCs/>
                <w:i w:val="false"/>
                <w:iCs w:val="false"/>
                <w:sz w:val="19"/>
                <w:szCs w:val="19"/>
              </w:rPr>
              <w:t>Status</w:t>
            </w:r>
          </w:p>
        </w:tc>
        <w:tc>
          <w:tcPr>
            <w:tcW w:w="6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Draft — Pending Network Engineering Review</w:t>
            </w:r>
          </w:p>
        </w:tc>
      </w:tr>
    </w:tbl>
    <w:p>
      <w:pPr>
        <w:pStyle w:val="Heading1"/>
        <w:spacing w:before="320" w:after="160"/>
        <w:rPr/>
      </w:pPr>
      <w:r>
        <w:rPr/>
        <w:t>1. Purpose and Scope</w:t>
      </w:r>
    </w:p>
    <w:p>
      <w:pPr>
        <w:pStyle w:val="Normal"/>
        <w:spacing w:before="0" w:after="160"/>
        <w:rPr/>
      </w:pPr>
      <w:r>
        <w:rPr>
          <w:b w:val="false"/>
          <w:bCs w:val="false"/>
          <w:i w:val="false"/>
          <w:iCs w:val="false"/>
        </w:rPr>
        <w:t>This document is the Sprint 1 discovery deliverable (D1.1) defined in the Phase 2 Statement of Work: a confirmed Aruba Central API endpoint, credentials, and data schema for the Wireless Health pillar. Its acceptance criterion is review and agreement by the client's Network Engineering team.</w:t>
      </w:r>
    </w:p>
    <w:p>
      <w:pPr>
        <w:pStyle w:val="Normal"/>
        <w:spacing w:before="0" w:after="160"/>
        <w:rPr/>
      </w:pPr>
      <w:r>
        <w:rPr>
          <w:b w:val="false"/>
          <w:bCs w:val="false"/>
          <w:i w:val="false"/>
          <w:iCs w:val="false"/>
        </w:rPr>
        <w:t>Scope is limited to read-only observability of the Aruba Central SaaS platform — AP health, client connectivity, alerts, and (subject to the open item in Section 7) site-level health scoring. AP provisioning or any configuration change to the Aruba estate is explicitly out of scope, consistent with the Phase 2 SOW's exclusions.</w:t>
      </w:r>
    </w:p>
    <w:p>
      <w:pPr>
        <w:pStyle w:val="Normal"/>
        <w:spacing w:before="0" w:after="160"/>
        <w:rPr/>
      </w:pPr>
      <w:r>
        <w:rPr>
          <w:b w:val="false"/>
          <w:bCs w:val="false"/>
          <w:i w:val="false"/>
          <w:iCs w:val="false"/>
        </w:rPr>
        <w:t>This document supersedes the endpoint assumptions made during the earlier Initial Analysis (v0.1) with what has since been confirmed against the live Aruba Central API. Where the two differ, both are shown so the change is auditable.</w:t>
      </w:r>
    </w:p>
    <w:p>
      <w:pPr>
        <w:pStyle w:val="Heading1"/>
        <w:spacing w:before="320" w:after="160"/>
        <w:rPr/>
      </w:pPr>
      <w:r>
        <w:rPr/>
        <w:t>2. Executive Summary</w:t>
      </w:r>
    </w:p>
    <w:p>
      <w:pPr>
        <w:pStyle w:val="ListParagraph"/>
        <w:numPr>
          <w:ilvl w:val="0"/>
          <w:numId w:val="4"/>
        </w:numPr>
        <w:spacing w:before="0" w:after="80"/>
        <w:rPr/>
      </w:pPr>
      <w:r>
        <w:rPr/>
        <w:t>The Sprint 1 credential blocker (SOW dependency C1 — Aruba Central System Apps machine-to-machine credentials) is resolved. Client ID and Secret have been obtained from Sandeep Somanache.</w:t>
      </w:r>
    </w:p>
    <w:p>
      <w:pPr>
        <w:pStyle w:val="ListParagraph"/>
        <w:numPr>
          <w:ilvl w:val="0"/>
          <w:numId w:val="2"/>
        </w:numPr>
        <w:spacing w:before="0" w:after="80"/>
        <w:rPr/>
      </w:pPr>
      <w:r>
        <w:rPr/>
        <w:t>The wireless connector has been built and validated against the live Aruba Central API, not just the assumed schema: token lifecycle, AP inventory, client counts, and alerts are all confirmed working end-to-end.</w:t>
      </w:r>
    </w:p>
    <w:p>
      <w:pPr>
        <w:pStyle w:val="ListParagraph"/>
        <w:numPr>
          <w:ilvl w:val="0"/>
          <w:numId w:val="2"/>
        </w:numPr>
        <w:spacing w:before="0" w:after="80"/>
        <w:rPr/>
      </w:pPr>
      <w:r>
        <w:rPr/>
        <w:t>One endpoint assumed during initial analysis does not exist on Aruba's real API: the bulk per-site composite health score. This is flagged as an open item requiring a design decision, not a blocker to closing this document.</w:t>
      </w:r>
    </w:p>
    <w:p>
      <w:pPr>
        <w:pStyle w:val="ListParagraph"/>
        <w:numPr>
          <w:ilvl w:val="0"/>
          <w:numId w:val="2"/>
        </w:numPr>
        <w:spacing w:before="0" w:after="80"/>
        <w:rPr/>
      </w:pPr>
      <w:r>
        <w:rPr/>
        <w:t>Two endpoints in the original design (SSID/network status, SD-WAN uplink health) have not yet been implemented or tested against the live API and remain open.</w:t>
      </w:r>
    </w:p>
    <w:p>
      <w:pPr>
        <w:pStyle w:val="ListParagraph"/>
        <w:numPr>
          <w:ilvl w:val="0"/>
          <w:numId w:val="2"/>
        </w:numPr>
        <w:spacing w:before="0" w:after="80"/>
        <w:rPr/>
      </w:pPr>
      <w:r>
        <w:rPr/>
        <w:t>Two items require Network Engineering input before Sprint 2 build can be considered fully de-risked: confirmed API rate limits against the target 5-minute polling frequency, and confirmation that the current Aruba Central subscription tier includes the AI Insights and SD-WAN API scope the design assumed.</w:t>
      </w:r>
    </w:p>
    <w:p>
      <w:pPr>
        <w:pStyle w:val="Heading1"/>
        <w:spacing w:before="320" w:after="160"/>
        <w:rPr/>
      </w:pPr>
      <w:r>
        <w:rPr/>
        <w:t>3. Authentication and Access</w:t>
      </w:r>
    </w:p>
    <w:p>
      <w:pPr>
        <w:pStyle w:val="Heading2"/>
        <w:spacing w:before="240" w:after="120"/>
        <w:rPr/>
      </w:pPr>
      <w:r>
        <w:rPr/>
        <w:t>3.1 Method</w:t>
      </w:r>
    </w:p>
    <w:p>
      <w:pPr>
        <w:pStyle w:val="Normal"/>
        <w:spacing w:before="0" w:after="160"/>
        <w:rPr/>
      </w:pPr>
      <w:r>
        <w:rPr>
          <w:b w:val="false"/>
          <w:bCs w:val="false"/>
          <w:i w:val="false"/>
          <w:iCs w:val="false"/>
        </w:rPr>
        <w:t>OAuth 2.0. The token endpoint is POST /oauth2/token.</w:t>
      </w:r>
    </w:p>
    <w:p>
      <w:pPr>
        <w:pStyle w:val="Normal"/>
        <w:spacing w:before="0" w:after="160"/>
        <w:rPr/>
      </w:pPr>
      <w:r>
        <w:rPr>
          <w:b w:val="false"/>
          <w:bCs w:val="false"/>
          <w:i/>
          <w:iCs/>
          <w:color w:val="595959"/>
        </w:rPr>
        <w:t>Correction to record: the Low-Level Design and HLD assumed a client_credentials grant. In practice, Aruba's API for this integration type does not support client_credentials — the connector uses the refresh_token grant instead, and client_credentials handling has been removed. This is the confirmed method going forward.</w:t>
      </w:r>
    </w:p>
    <w:p>
      <w:pPr>
        <w:pStyle w:val="Heading2"/>
        <w:spacing w:before="240" w:after="120"/>
        <w:rPr/>
      </w:pPr>
      <w:r>
        <w:rPr/>
        <w:t>3.2 Credentials</w:t>
      </w:r>
    </w:p>
    <w:tbl>
      <w:tblPr>
        <w:tblW w:w="9350" w:type="dxa"/>
        <w:jc w:val="start"/>
        <w:tblInd w:w="0" w:type="dxa"/>
        <w:tblLayout w:type="fixed"/>
        <w:tblCellMar>
          <w:top w:w="60" w:type="dxa"/>
          <w:start w:w="100" w:type="dxa"/>
          <w:bottom w:w="60" w:type="dxa"/>
          <w:end w:w="100" w:type="dxa"/>
        </w:tblCellMar>
      </w:tblPr>
      <w:tblGrid>
        <w:gridCol w:w="3398"/>
        <w:gridCol w:w="4552"/>
        <w:gridCol w:w="1400"/>
      </w:tblGrid>
      <w:tr>
        <w:trPr>
          <w:tblHeader w:val="true"/>
        </w:trPr>
        <w:tc>
          <w:tcPr>
            <w:tcW w:w="3398"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Credential / Config Value</w:t>
            </w:r>
          </w:p>
        </w:tc>
        <w:tc>
          <w:tcPr>
            <w:tcW w:w="4552"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Source</w:t>
            </w:r>
          </w:p>
        </w:tc>
        <w:tc>
          <w:tcPr>
            <w:tcW w:w="140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Status</w:t>
            </w:r>
          </w:p>
        </w:tc>
      </w:tr>
      <w:tr>
        <w:trPr/>
        <w:tc>
          <w:tcPr>
            <w:tcW w:w="339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ARUBA_BASE_URL</w:t>
            </w:r>
          </w:p>
        </w:tc>
        <w:tc>
          <w:tcPr>
            <w:tcW w:w="455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Aruba Central API gateway URL (from Aruba Central portal)</w:t>
            </w:r>
          </w:p>
        </w:tc>
        <w:tc>
          <w:tcPr>
            <w:tcW w:w="1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Confirmed</w:t>
            </w:r>
          </w:p>
        </w:tc>
      </w:tr>
      <w:tr>
        <w:trPr/>
        <w:tc>
          <w:tcPr>
            <w:tcW w:w="339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ARUBA_CLIENT_ID</w:t>
            </w:r>
          </w:p>
        </w:tc>
        <w:tc>
          <w:tcPr>
            <w:tcW w:w="455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OAuth 2.0 client ID — System Apps / machine-to-machine, Network Engineering</w:t>
            </w:r>
          </w:p>
        </w:tc>
        <w:tc>
          <w:tcPr>
            <w:tcW w:w="1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Confirmed — obtained</w:t>
            </w:r>
          </w:p>
        </w:tc>
      </w:tr>
      <w:tr>
        <w:trPr/>
        <w:tc>
          <w:tcPr>
            <w:tcW w:w="339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ARUBA_CLIENT_SECRET</w:t>
            </w:r>
          </w:p>
        </w:tc>
        <w:tc>
          <w:tcPr>
            <w:tcW w:w="455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OAuth 2.0 client secret — System Apps / machine-to-machine, Network Engineering</w:t>
            </w:r>
          </w:p>
        </w:tc>
        <w:tc>
          <w:tcPr>
            <w:tcW w:w="1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Confirmed — obtained</w:t>
            </w:r>
          </w:p>
        </w:tc>
      </w:tr>
      <w:tr>
        <w:trPr/>
        <w:tc>
          <w:tcPr>
            <w:tcW w:w="339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ARUBA_CUSTOMER_ID</w:t>
            </w:r>
          </w:p>
        </w:tc>
        <w:tc>
          <w:tcPr>
            <w:tcW w:w="455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Aruba Central customer ID, for multi-tenant API calls</w:t>
            </w:r>
          </w:p>
        </w:tc>
        <w:tc>
          <w:tcPr>
            <w:tcW w:w="1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Confirmed</w:t>
            </w:r>
          </w:p>
        </w:tc>
      </w:tr>
    </w:tbl>
    <w:p>
      <w:pPr>
        <w:pStyle w:val="Heading2"/>
        <w:spacing w:before="240" w:after="120"/>
        <w:rPr/>
      </w:pPr>
      <w:r>
        <w:rPr/>
        <w:t>3.3 Network Requirements</w:t>
      </w:r>
    </w:p>
    <w:p>
      <w:pPr>
        <w:pStyle w:val="Normal"/>
        <w:spacing w:before="0" w:after="160"/>
        <w:rPr/>
      </w:pPr>
      <w:r>
        <w:rPr>
          <w:b w:val="false"/>
          <w:bCs w:val="false"/>
          <w:i w:val="false"/>
          <w:iCs w:val="false"/>
        </w:rPr>
        <w:t>None beyond outbound HTTPS. Aruba Central is a SaaS platform — no on-premises agent, VPN, or firewall exception is required from the integration layer.</w:t>
      </w:r>
    </w:p>
    <w:p>
      <w:pPr>
        <w:pStyle w:val="Heading2"/>
        <w:spacing w:before="240" w:after="120"/>
        <w:rPr/>
      </w:pPr>
      <w:r>
        <w:rPr/>
        <w:t>3.4 Credential Custody — Open Item</w:t>
      </w:r>
    </w:p>
    <w:p>
      <w:pPr>
        <w:pStyle w:val="Normal"/>
        <w:spacing w:before="0" w:after="160"/>
        <w:rPr/>
      </w:pPr>
      <w:r>
        <w:rPr>
          <w:b w:val="false"/>
          <w:bCs w:val="false"/>
          <w:i w:val="false"/>
          <w:iCs w:val="false"/>
          <w:color w:val="9C5700"/>
        </w:rPr>
        <w:t>The OAuth refresh token is currently persisted by rewriting the backend .env file in plaintext. This keeps the token chain alive correctly but contradicts the HLD's own Secret Management design (HashiCorp Vault or Azure Key Vault). This must move to proper secret storage before production credentials are issued — tracked in Section 7.</w:t>
      </w:r>
    </w:p>
    <w:p>
      <w:pPr>
        <w:pStyle w:val="Heading1"/>
        <w:spacing w:before="320" w:after="160"/>
        <w:rPr/>
      </w:pPr>
      <w:r>
        <w:rPr/>
      </w:r>
      <w:r>
        <w:br w:type="page"/>
      </w:r>
    </w:p>
    <w:p>
      <w:pPr>
        <w:pStyle w:val="Heading1"/>
        <w:spacing w:before="320" w:after="160"/>
        <w:rPr/>
      </w:pPr>
      <w:r>
        <w:rPr/>
        <w:t>4. Confirmed API Endpoints</w:t>
      </w:r>
    </w:p>
    <w:p>
      <w:pPr>
        <w:pStyle w:val="Normal"/>
        <w:spacing w:before="0" w:after="160"/>
        <w:rPr/>
      </w:pPr>
      <w:r>
        <w:rPr>
          <w:b w:val="false"/>
          <w:bCs w:val="false"/>
          <w:i w:val="false"/>
          <w:iCs w:val="false"/>
        </w:rPr>
        <w:t>Endpoints as validated against the live Aruba Central API in the current build:</w:t>
      </w:r>
    </w:p>
    <w:tbl>
      <w:tblPr>
        <w:tblW w:w="9350" w:type="dxa"/>
        <w:jc w:val="start"/>
        <w:tblInd w:w="0" w:type="dxa"/>
        <w:tblLayout w:type="fixed"/>
        <w:tblCellMar>
          <w:top w:w="60" w:type="dxa"/>
          <w:start w:w="100" w:type="dxa"/>
          <w:bottom w:w="60" w:type="dxa"/>
          <w:end w:w="100" w:type="dxa"/>
        </w:tblCellMar>
      </w:tblPr>
      <w:tblGrid>
        <w:gridCol w:w="2600"/>
        <w:gridCol w:w="950"/>
        <w:gridCol w:w="4200"/>
        <w:gridCol w:w="1600"/>
      </w:tblGrid>
      <w:tr>
        <w:trPr>
          <w:tblHeader w:val="true"/>
        </w:trPr>
        <w:tc>
          <w:tcPr>
            <w:tcW w:w="260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Endpoint</w:t>
            </w:r>
          </w:p>
        </w:tc>
        <w:tc>
          <w:tcPr>
            <w:tcW w:w="95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Method</w:t>
            </w:r>
          </w:p>
        </w:tc>
        <w:tc>
          <w:tcPr>
            <w:tcW w:w="420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Purpose</w:t>
            </w:r>
          </w:p>
        </w:tc>
        <w:tc>
          <w:tcPr>
            <w:tcW w:w="160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Status</w:t>
            </w:r>
          </w:p>
        </w:tc>
      </w:tr>
      <w:tr>
        <w:trPr/>
        <w:tc>
          <w:tcPr>
            <w:tcW w:w="26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/oauth2/token</w:t>
            </w:r>
          </w:p>
        </w:tc>
        <w:tc>
          <w:tcPr>
            <w:tcW w:w="9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POST</w:t>
            </w:r>
          </w:p>
        </w:tc>
        <w:tc>
          <w:tcPr>
            <w:tcW w:w="4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Access / refresh token lifecycle</w:t>
            </w:r>
          </w:p>
        </w:tc>
        <w:tc>
          <w:tcPr>
            <w:tcW w:w="16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color w:val="375623"/>
                <w:sz w:val="19"/>
                <w:szCs w:val="19"/>
              </w:rPr>
              <w:t>Confirmed working (refresh_token grant)</w:t>
            </w:r>
          </w:p>
        </w:tc>
      </w:tr>
      <w:tr>
        <w:trPr/>
        <w:tc>
          <w:tcPr>
            <w:tcW w:w="26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/monitoring/v2/aps</w:t>
            </w:r>
          </w:p>
        </w:tc>
        <w:tc>
          <w:tcPr>
            <w:tcW w:w="9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GET</w:t>
            </w:r>
          </w:p>
        </w:tc>
        <w:tc>
          <w:tcPr>
            <w:tcW w:w="4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AP inventory and status, paginated</w:t>
            </w:r>
          </w:p>
        </w:tc>
        <w:tc>
          <w:tcPr>
            <w:tcW w:w="16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color w:val="375623"/>
                <w:sz w:val="19"/>
                <w:szCs w:val="19"/>
              </w:rPr>
              <w:t>Confirmed working</w:t>
            </w:r>
          </w:p>
        </w:tc>
      </w:tr>
      <w:tr>
        <w:trPr/>
        <w:tc>
          <w:tcPr>
            <w:tcW w:w="26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/monitoring/v2/clients</w:t>
            </w:r>
          </w:p>
        </w:tc>
        <w:tc>
          <w:tcPr>
            <w:tcW w:w="9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GET</w:t>
            </w:r>
          </w:p>
        </w:tc>
        <w:tc>
          <w:tcPr>
            <w:tcW w:w="4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Connected clients, paginated; aggregated to per-site counts client-side</w:t>
            </w:r>
          </w:p>
        </w:tc>
        <w:tc>
          <w:tcPr>
            <w:tcW w:w="16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color w:val="375623"/>
                <w:sz w:val="19"/>
                <w:szCs w:val="19"/>
              </w:rPr>
              <w:t>Confirmed working</w:t>
            </w:r>
          </w:p>
        </w:tc>
      </w:tr>
      <w:tr>
        <w:trPr/>
        <w:tc>
          <w:tcPr>
            <w:tcW w:w="26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/central/v1/notifications</w:t>
            </w:r>
          </w:p>
        </w:tc>
        <w:tc>
          <w:tcPr>
            <w:tcW w:w="9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GET</w:t>
            </w:r>
          </w:p>
        </w:tc>
        <w:tc>
          <w:tcPr>
            <w:tcW w:w="4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Active alerts</w:t>
            </w:r>
          </w:p>
        </w:tc>
        <w:tc>
          <w:tcPr>
            <w:tcW w:w="16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color w:val="9C5700"/>
                <w:sz w:val="19"/>
                <w:szCs w:val="19"/>
              </w:rPr>
              <w:t>Confirmed working — flat limit of 100, no pagination loop yet</w:t>
            </w:r>
          </w:p>
        </w:tc>
      </w:tr>
      <w:tr>
        <w:trPr/>
        <w:tc>
          <w:tcPr>
            <w:tcW w:w="26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/aiops/v2/sites/health</w:t>
            </w:r>
          </w:p>
        </w:tc>
        <w:tc>
          <w:tcPr>
            <w:tcW w:w="9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GET</w:t>
            </w:r>
          </w:p>
        </w:tc>
        <w:tc>
          <w:tcPr>
            <w:tcW w:w="4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Composite per-site health score (bulk)</w:t>
            </w:r>
          </w:p>
        </w:tc>
        <w:tc>
          <w:tcPr>
            <w:tcW w:w="16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color w:val="C00000"/>
                <w:sz w:val="19"/>
                <w:szCs w:val="19"/>
              </w:rPr>
              <w:t>Not available — 404, endpoint does not exist</w:t>
            </w:r>
          </w:p>
        </w:tc>
      </w:tr>
    </w:tbl>
    <w:p>
      <w:pPr>
        <w:pStyle w:val="Heading1"/>
        <w:spacing w:before="320" w:after="160"/>
        <w:rPr/>
      </w:pPr>
      <w:r>
        <w:rPr/>
        <w:t>5. Data Schema</w:t>
      </w:r>
    </w:p>
    <w:p>
      <w:pPr>
        <w:pStyle w:val="Normal"/>
        <w:spacing w:before="0" w:after="160"/>
        <w:rPr/>
      </w:pPr>
      <w:r>
        <w:rPr>
          <w:b w:val="false"/>
          <w:bCs w:val="false"/>
          <w:i w:val="false"/>
          <w:iCs w:val="false"/>
        </w:rPr>
        <w:t>Field names are chosen to match the Aruba Central REST API field names exactly, so no transformation mapping is needed between the interim file-based ingestion and the live API (per the LLD's schema-first design principle). This is the record shape produced per site, per polling cycle:</w:t>
      </w:r>
    </w:p>
    <w:tbl>
      <w:tblPr>
        <w:tblW w:w="9350" w:type="dxa"/>
        <w:jc w:val="start"/>
        <w:tblInd w:w="0" w:type="dxa"/>
        <w:tblLayout w:type="fixed"/>
        <w:tblCellMar>
          <w:top w:w="60" w:type="dxa"/>
          <w:start w:w="100" w:type="dxa"/>
          <w:bottom w:w="60" w:type="dxa"/>
          <w:end w:w="100" w:type="dxa"/>
        </w:tblCellMar>
      </w:tblPr>
      <w:tblGrid>
        <w:gridCol w:w="2400"/>
        <w:gridCol w:w="1750"/>
        <w:gridCol w:w="5200"/>
      </w:tblGrid>
      <w:tr>
        <w:trPr>
          <w:tblHeader w:val="true"/>
        </w:trPr>
        <w:tc>
          <w:tcPr>
            <w:tcW w:w="240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Field</w:t>
            </w:r>
          </w:p>
        </w:tc>
        <w:tc>
          <w:tcPr>
            <w:tcW w:w="175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Type</w:t>
            </w:r>
          </w:p>
        </w:tc>
        <w:tc>
          <w:tcPr>
            <w:tcW w:w="520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Notes</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site_id</w:t>
            </w:r>
          </w:p>
        </w:tc>
        <w:tc>
          <w:tcPr>
            <w:tcW w:w="1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string</w:t>
            </w:r>
          </w:p>
        </w:tc>
        <w:tc>
          <w:tcPr>
            <w:tcW w:w="5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Primary correlation key — matches Aruba Central site ID format</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site_name</w:t>
            </w:r>
          </w:p>
        </w:tc>
        <w:tc>
          <w:tcPr>
            <w:tcW w:w="1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string</w:t>
            </w:r>
          </w:p>
        </w:tc>
        <w:tc>
          <w:tcPr>
            <w:tcW w:w="5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Display name shown in dashboard site table</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timestamp</w:t>
            </w:r>
          </w:p>
        </w:tc>
        <w:tc>
          <w:tcPr>
            <w:tcW w:w="1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datetime (UTC)</w:t>
            </w:r>
          </w:p>
        </w:tc>
        <w:tc>
          <w:tcPr>
            <w:tcW w:w="5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Time the health data snapshot was taken</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site_health_score</w:t>
            </w:r>
          </w:p>
        </w:tc>
        <w:tc>
          <w:tcPr>
            <w:tcW w:w="1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int, 0–100</w:t>
            </w:r>
          </w:p>
        </w:tc>
        <w:tc>
          <w:tcPr>
            <w:tcW w:w="5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Aruba AI Insights composite score — currently unavailable from source API; see Section 7</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ap_total / ap_online / ap_offline</w:t>
            </w:r>
          </w:p>
        </w:tc>
        <w:tc>
          <w:tcPr>
            <w:tcW w:w="1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int ≥ 0</w:t>
            </w:r>
          </w:p>
        </w:tc>
        <w:tc>
          <w:tcPr>
            <w:tcW w:w="5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AP inventory counts, from /monitoring/v2/aps</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client_count</w:t>
            </w:r>
          </w:p>
        </w:tc>
        <w:tc>
          <w:tcPr>
            <w:tcW w:w="1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int ≥ 0</w:t>
            </w:r>
          </w:p>
        </w:tc>
        <w:tc>
          <w:tcPr>
            <w:tcW w:w="5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Connected wireless clients, aggregated from /monitoring/v2/clients</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auth_failures_1h</w:t>
            </w:r>
          </w:p>
        </w:tc>
        <w:tc>
          <w:tcPr>
            <w:tcW w:w="1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int ≥ 0</w:t>
            </w:r>
          </w:p>
        </w:tc>
        <w:tc>
          <w:tcPr>
            <w:tcW w:w="5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Authentication failures in the last hour</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active_alerts</w:t>
            </w:r>
          </w:p>
        </w:tc>
        <w:tc>
          <w:tcPr>
            <w:tcW w:w="1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int ≥ 0</w:t>
            </w:r>
          </w:p>
        </w:tc>
        <w:tc>
          <w:tcPr>
            <w:tcW w:w="5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Count of active alerts, from /central/v1/notifications</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alert_severity</w:t>
            </w:r>
          </w:p>
        </w:tc>
        <w:tc>
          <w:tcPr>
            <w:tcW w:w="1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enum</w:t>
            </w:r>
          </w:p>
        </w:tc>
        <w:tc>
          <w:tcPr>
            <w:tcW w:w="5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none | info | warning | critical</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alert_description</w:t>
            </w:r>
          </w:p>
        </w:tc>
        <w:tc>
          <w:tcPr>
            <w:tcW w:w="1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string (nullable)</w:t>
            </w:r>
          </w:p>
        </w:tc>
        <w:tc>
          <w:tcPr>
            <w:tcW w:w="5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Description of the highest-severity active alert</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ssid_count</w:t>
            </w:r>
          </w:p>
        </w:tc>
        <w:tc>
          <w:tcPr>
            <w:tcW w:w="1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int ≥ 0</w:t>
            </w:r>
          </w:p>
        </w:tc>
        <w:tc>
          <w:tcPr>
            <w:tcW w:w="5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Number of active SSIDs — source endpoint not yet implemented, see Section 4.1</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uplink_quality</w:t>
            </w:r>
          </w:p>
        </w:tc>
        <w:tc>
          <w:tcPr>
            <w:tcW w:w="17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enum</w:t>
            </w:r>
          </w:p>
        </w:tc>
        <w:tc>
          <w:tcPr>
            <w:tcW w:w="52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good | fair | poor | down — source endpoint not yet implemented, see Section 4.1</w:t>
            </w:r>
          </w:p>
        </w:tc>
      </w:tr>
    </w:tbl>
    <w:p>
      <w:pPr>
        <w:pStyle w:val="Heading1"/>
        <w:spacing w:before="320" w:after="160"/>
        <w:rPr/>
      </w:pPr>
      <w:r>
        <w:rPr/>
        <w:t>6. Health Score Computation</w:t>
      </w:r>
    </w:p>
    <w:p>
      <w:pPr>
        <w:pStyle w:val="Normal"/>
        <w:spacing w:before="0" w:after="160"/>
        <w:rPr/>
      </w:pPr>
      <w:r>
        <w:rPr>
          <w:b w:val="false"/>
          <w:bCs w:val="false"/>
          <w:i w:val="false"/>
          <w:iCs w:val="false"/>
        </w:rPr>
        <w:t>The composite Wireless Health Score is computed per site from three weighted components:</w:t>
      </w:r>
    </w:p>
    <w:tbl>
      <w:tblPr>
        <w:tblW w:w="9350" w:type="dxa"/>
        <w:jc w:val="start"/>
        <w:tblInd w:w="0" w:type="dxa"/>
        <w:tblLayout w:type="fixed"/>
        <w:tblCellMar>
          <w:top w:w="60" w:type="dxa"/>
          <w:start w:w="100" w:type="dxa"/>
          <w:bottom w:w="60" w:type="dxa"/>
          <w:end w:w="100" w:type="dxa"/>
        </w:tblCellMar>
      </w:tblPr>
      <w:tblGrid>
        <w:gridCol w:w="2400"/>
        <w:gridCol w:w="500"/>
        <w:gridCol w:w="898"/>
        <w:gridCol w:w="1251"/>
        <w:gridCol w:w="949"/>
        <w:gridCol w:w="1202"/>
        <w:gridCol w:w="2150"/>
      </w:tblGrid>
      <w:tr>
        <w:trPr>
          <w:tblHeader w:val="true"/>
        </w:trPr>
        <w:tc>
          <w:tcPr>
            <w:tcW w:w="240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Component</w:t>
            </w:r>
          </w:p>
        </w:tc>
        <w:tc>
          <w:tcPr>
            <w:tcW w:w="1398" w:type="dxa"/>
            <w:gridSpan w:val="2"/>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Weight</w:t>
            </w:r>
          </w:p>
        </w:tc>
        <w:tc>
          <w:tcPr>
            <w:tcW w:w="2200" w:type="dxa"/>
            <w:gridSpan w:val="2"/>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Input Field</w:t>
            </w:r>
          </w:p>
        </w:tc>
        <w:tc>
          <w:tcPr>
            <w:tcW w:w="3352" w:type="dxa"/>
            <w:gridSpan w:val="2"/>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Scoring Logic</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Aruba Site Health Score</w:t>
            </w:r>
          </w:p>
        </w:tc>
        <w:tc>
          <w:tcPr>
            <w:tcW w:w="1398"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50%</w:t>
            </w:r>
          </w:p>
        </w:tc>
        <w:tc>
          <w:tcPr>
            <w:tcW w:w="2200"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site_health_score</w:t>
            </w:r>
          </w:p>
        </w:tc>
        <w:tc>
          <w:tcPr>
            <w:tcW w:w="3352"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(site_health_score / 100) × 50</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AP Online Ratio</w:t>
            </w:r>
          </w:p>
        </w:tc>
        <w:tc>
          <w:tcPr>
            <w:tcW w:w="1398"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30%</w:t>
            </w:r>
          </w:p>
        </w:tc>
        <w:tc>
          <w:tcPr>
            <w:tcW w:w="2200"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ap_online / ap_total</w:t>
            </w:r>
          </w:p>
        </w:tc>
        <w:tc>
          <w:tcPr>
            <w:tcW w:w="3352"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(ap_online / ap_total) × 30</w:t>
            </w:r>
          </w:p>
        </w:tc>
      </w:tr>
      <w:tr>
        <w:trPr/>
        <w:tc>
          <w:tcPr>
            <w:tcW w:w="24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Alert Penalty</w:t>
            </w:r>
          </w:p>
        </w:tc>
        <w:tc>
          <w:tcPr>
            <w:tcW w:w="1398"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w:t>
            </w:r>
            <w:r>
              <w:rPr>
                <w:b w:val="false"/>
                <w:bCs w:val="false"/>
                <w:i w:val="false"/>
                <w:iCs w:val="false"/>
                <w:sz w:val="19"/>
                <w:szCs w:val="19"/>
              </w:rPr>
              <w:t>20% max</w:t>
            </w:r>
          </w:p>
        </w:tc>
        <w:tc>
          <w:tcPr>
            <w:tcW w:w="2200"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alert_severity</w:t>
            </w:r>
          </w:p>
        </w:tc>
        <w:tc>
          <w:tcPr>
            <w:tcW w:w="3352"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none = 0, info = −2, warning = −10, critical = −20</w:t>
            </w:r>
          </w:p>
        </w:tc>
      </w:tr>
      <w:tr>
        <w:trPr/>
        <w:tc>
          <w:tcPr>
            <w:tcW w:w="2900" w:type="dxa"/>
            <w:gridSpan w:val="2"/>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Metric</w:t>
            </w:r>
          </w:p>
        </w:tc>
        <w:tc>
          <w:tcPr>
            <w:tcW w:w="2149" w:type="dxa"/>
            <w:gridSpan w:val="2"/>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Green (Healthy)</w:t>
            </w:r>
          </w:p>
        </w:tc>
        <w:tc>
          <w:tcPr>
            <w:tcW w:w="2151" w:type="dxa"/>
            <w:gridSpan w:val="2"/>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Amber (Degraded)</w:t>
            </w:r>
          </w:p>
        </w:tc>
        <w:tc>
          <w:tcPr>
            <w:tcW w:w="215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Red (Critical)</w:t>
            </w:r>
          </w:p>
        </w:tc>
      </w:tr>
      <w:tr>
        <w:trPr/>
        <w:tc>
          <w:tcPr>
            <w:tcW w:w="2900"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Composite Health Score</w:t>
            </w:r>
          </w:p>
        </w:tc>
        <w:tc>
          <w:tcPr>
            <w:tcW w:w="2149"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 xml:space="preserve">≥ </w:t>
            </w:r>
            <w:r>
              <w:rPr>
                <w:b w:val="false"/>
                <w:bCs w:val="false"/>
                <w:i w:val="false"/>
                <w:iCs w:val="false"/>
                <w:sz w:val="19"/>
                <w:szCs w:val="19"/>
              </w:rPr>
              <w:t>80</w:t>
            </w:r>
          </w:p>
        </w:tc>
        <w:tc>
          <w:tcPr>
            <w:tcW w:w="2151"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60 – 79</w:t>
            </w:r>
          </w:p>
        </w:tc>
        <w:tc>
          <w:tcPr>
            <w:tcW w:w="21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&lt; 60</w:t>
            </w:r>
          </w:p>
        </w:tc>
      </w:tr>
      <w:tr>
        <w:trPr/>
        <w:tc>
          <w:tcPr>
            <w:tcW w:w="2900"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AP Online %</w:t>
            </w:r>
          </w:p>
        </w:tc>
        <w:tc>
          <w:tcPr>
            <w:tcW w:w="2149"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 xml:space="preserve">≥ </w:t>
            </w:r>
            <w:r>
              <w:rPr>
                <w:b w:val="false"/>
                <w:bCs w:val="false"/>
                <w:i w:val="false"/>
                <w:iCs w:val="false"/>
                <w:sz w:val="19"/>
                <w:szCs w:val="19"/>
              </w:rPr>
              <w:t>95%</w:t>
            </w:r>
          </w:p>
        </w:tc>
        <w:tc>
          <w:tcPr>
            <w:tcW w:w="2151"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85 – 94%</w:t>
            </w:r>
          </w:p>
        </w:tc>
        <w:tc>
          <w:tcPr>
            <w:tcW w:w="21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&lt; 85%</w:t>
            </w:r>
          </w:p>
        </w:tc>
      </w:tr>
      <w:tr>
        <w:trPr/>
        <w:tc>
          <w:tcPr>
            <w:tcW w:w="2900"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Active Alert Severity</w:t>
            </w:r>
          </w:p>
        </w:tc>
        <w:tc>
          <w:tcPr>
            <w:tcW w:w="2149"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None / Info</w:t>
            </w:r>
          </w:p>
        </w:tc>
        <w:tc>
          <w:tcPr>
            <w:tcW w:w="2151" w:type="dxa"/>
            <w:gridSpan w:val="2"/>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Warning</w:t>
            </w:r>
          </w:p>
        </w:tc>
        <w:tc>
          <w:tcPr>
            <w:tcW w:w="21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Critical</w:t>
            </w:r>
          </w:p>
        </w:tc>
      </w:tr>
    </w:tbl>
    <w:p>
      <w:pPr>
        <w:pStyle w:val="Normal"/>
        <w:spacing w:before="0" w:after="160"/>
        <w:rPr/>
      </w:pPr>
      <w:r>
        <w:rPr>
          <w:b w:val="false"/>
          <w:bCs w:val="false"/>
          <w:i/>
          <w:iCs/>
          <w:color w:val="595959"/>
        </w:rPr>
        <w:t>Because the site_health_score input is currently unavailable from the source API (Section 4), the composite score is presently running on the AP-ratio and alert-penalty components only. This is functioning but is not the design as specified until the Section 7 redesign decision is made.</w:t>
      </w:r>
    </w:p>
    <w:p>
      <w:pPr>
        <w:pStyle w:val="Heading1"/>
        <w:spacing w:before="320" w:after="160"/>
        <w:rPr/>
      </w:pPr>
      <w:r>
        <w:rPr/>
        <w:t>7. Open Items Requiring Network Engineering Input</w:t>
      </w:r>
    </w:p>
    <w:tbl>
      <w:tblPr>
        <w:tblW w:w="9350" w:type="dxa"/>
        <w:jc w:val="start"/>
        <w:tblInd w:w="0" w:type="dxa"/>
        <w:tblLayout w:type="fixed"/>
        <w:tblCellMar>
          <w:top w:w="60" w:type="dxa"/>
          <w:start w:w="100" w:type="dxa"/>
          <w:bottom w:w="60" w:type="dxa"/>
          <w:end w:w="100" w:type="dxa"/>
        </w:tblCellMar>
      </w:tblPr>
      <w:tblGrid>
        <w:gridCol w:w="500"/>
        <w:gridCol w:w="2500"/>
        <w:gridCol w:w="5348"/>
        <w:gridCol w:w="1002"/>
      </w:tblGrid>
      <w:tr>
        <w:trPr>
          <w:tblHeader w:val="true"/>
        </w:trPr>
        <w:tc>
          <w:tcPr>
            <w:tcW w:w="50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w:t>
            </w:r>
          </w:p>
        </w:tc>
        <w:tc>
          <w:tcPr>
            <w:tcW w:w="250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Item</w:t>
            </w:r>
          </w:p>
        </w:tc>
        <w:tc>
          <w:tcPr>
            <w:tcW w:w="5348"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Detail</w:t>
            </w:r>
          </w:p>
        </w:tc>
        <w:tc>
          <w:tcPr>
            <w:tcW w:w="1002"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Priority</w:t>
            </w:r>
          </w:p>
        </w:tc>
      </w:tr>
      <w:tr>
        <w:trPr/>
        <w:tc>
          <w:tcPr>
            <w:tcW w:w="5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1</w:t>
            </w:r>
          </w:p>
        </w:tc>
        <w:tc>
          <w:tcPr>
            <w:tcW w:w="25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Site-level composite health score</w:t>
            </w:r>
          </w:p>
        </w:tc>
        <w:tc>
          <w:tcPr>
            <w:tcW w:w="534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No Aruba endpoint returns a per-site composite score in one call. Aruba's AIOps API is per-AP or global insight lists, not per-site. Options: (a) fetch per-AP insights and aggregate to site level — more API calls, a cost/latency trade-off to size; or (b) accept AP-ratio-only scoring as the production model.</w:t>
            </w:r>
          </w:p>
        </w:tc>
        <w:tc>
          <w:tcPr>
            <w:tcW w:w="100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Critical</w:t>
            </w:r>
          </w:p>
        </w:tc>
      </w:tr>
      <w:tr>
        <w:trPr/>
        <w:tc>
          <w:tcPr>
            <w:tcW w:w="5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2</w:t>
            </w:r>
          </w:p>
        </w:tc>
        <w:tc>
          <w:tcPr>
            <w:tcW w:w="25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API rate limits</w:t>
            </w:r>
          </w:p>
        </w:tc>
        <w:tc>
          <w:tcPr>
            <w:tcW w:w="534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Confirm whether Aruba Central API rate limits support the target 5-minute polling frequency across all endpoints in use.</w:t>
            </w:r>
          </w:p>
        </w:tc>
        <w:tc>
          <w:tcPr>
            <w:tcW w:w="100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Medium</w:t>
            </w:r>
          </w:p>
        </w:tc>
      </w:tr>
      <w:tr>
        <w:trPr/>
        <w:tc>
          <w:tcPr>
            <w:tcW w:w="5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3</w:t>
            </w:r>
          </w:p>
        </w:tc>
        <w:tc>
          <w:tcPr>
            <w:tcW w:w="25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Subscription tier scope</w:t>
            </w:r>
          </w:p>
        </w:tc>
        <w:tc>
          <w:tcPr>
            <w:tcW w:w="534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Confirm the current Aruba Central subscription tier includes the AI Insights and SD-WAN API scope the original design assumed.</w:t>
            </w:r>
          </w:p>
        </w:tc>
        <w:tc>
          <w:tcPr>
            <w:tcW w:w="100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Medium</w:t>
            </w:r>
          </w:p>
        </w:tc>
      </w:tr>
      <w:tr>
        <w:trPr/>
        <w:tc>
          <w:tcPr>
            <w:tcW w:w="5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4</w:t>
            </w:r>
          </w:p>
        </w:tc>
        <w:tc>
          <w:tcPr>
            <w:tcW w:w="25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SSID / network status and SD-WAN uplink endpoints</w:t>
            </w:r>
          </w:p>
        </w:tc>
        <w:tc>
          <w:tcPr>
            <w:tcW w:w="534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Not yet implemented or tested. Confirm whether ssid_count and uplink_quality remain required for the GBS dashboard, or descope.</w:t>
            </w:r>
          </w:p>
        </w:tc>
        <w:tc>
          <w:tcPr>
            <w:tcW w:w="100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Medium</w:t>
            </w:r>
          </w:p>
        </w:tc>
      </w:tr>
    </w:tbl>
    <w:p>
      <w:pPr>
        <w:pStyle w:val="Normal"/>
        <w:spacing w:before="0" w:after="160"/>
        <w:rPr/>
      </w:pPr>
      <w:r>
        <w:rPr/>
      </w:r>
    </w:p>
    <w:p>
      <w:pPr>
        <w:pStyle w:val="Normal"/>
        <w:spacing w:before="0" w:after="160"/>
        <w:rPr>
          <w:b w:val="false"/>
          <w:bCs w:val="false"/>
          <w:i/>
          <w:iCs/>
        </w:rPr>
      </w:pPr>
      <w:r>
        <w:rPr>
          <w:b w:val="false"/>
          <w:bCs w:val="false"/>
          <w:i/>
          <w:iCs/>
        </w:rPr>
      </w:r>
      <w:r>
        <w:br w:type="page"/>
      </w:r>
    </w:p>
    <w:p>
      <w:pPr>
        <w:pStyle w:val="Normal"/>
        <w:spacing w:before="0" w:after="160"/>
        <w:rPr>
          <w:b w:val="false"/>
          <w:bCs w:val="false"/>
          <w:i/>
          <w:iCs/>
        </w:rPr>
      </w:pPr>
      <w:r>
        <w:rPr>
          <w:b w:val="false"/>
          <w:bCs w:val="false"/>
          <w:i/>
          <w:iCs/>
        </w:rPr>
        <w:t>Two further items are engineering follow-ups rather than Network Engineering dependencies, tracked here for visibility:</w:t>
      </w:r>
    </w:p>
    <w:p>
      <w:pPr>
        <w:pStyle w:val="ListParagraph"/>
        <w:numPr>
          <w:ilvl w:val="0"/>
          <w:numId w:val="2"/>
        </w:numPr>
        <w:spacing w:before="0" w:after="80"/>
        <w:rPr/>
      </w:pPr>
      <w:r>
        <w:rPr/>
        <w:t>Alert pagination — /central/v1/notifications is called with a flat limit of 100 and no paging loop; can silently under-report at scale.</w:t>
      </w:r>
    </w:p>
    <w:p>
      <w:pPr>
        <w:pStyle w:val="ListParagraph"/>
        <w:numPr>
          <w:ilvl w:val="0"/>
          <w:numId w:val="2"/>
        </w:numPr>
        <w:spacing w:before="0" w:after="80"/>
        <w:rPr/>
      </w:pPr>
      <w:r>
        <w:rPr/>
        <w:t>Credential storage — move the OAuth refresh token from plaintext .env to Vault / Key Vault before production credentials are issued (Section 3.4).</w:t>
      </w:r>
    </w:p>
    <w:p>
      <w:pPr>
        <w:pStyle w:val="Heading1"/>
        <w:spacing w:before="320" w:after="160"/>
        <w:rPr/>
      </w:pPr>
      <w:r>
        <w:rPr/>
        <w:t>8. Risks</w:t>
      </w:r>
    </w:p>
    <w:tbl>
      <w:tblPr>
        <w:tblW w:w="9350" w:type="dxa"/>
        <w:jc w:val="start"/>
        <w:tblInd w:w="0" w:type="dxa"/>
        <w:tblLayout w:type="fixed"/>
        <w:tblCellMar>
          <w:top w:w="60" w:type="dxa"/>
          <w:start w:w="100" w:type="dxa"/>
          <w:bottom w:w="60" w:type="dxa"/>
          <w:end w:w="100" w:type="dxa"/>
        </w:tblCellMar>
      </w:tblPr>
      <w:tblGrid>
        <w:gridCol w:w="3198"/>
        <w:gridCol w:w="1350"/>
        <w:gridCol w:w="1150"/>
        <w:gridCol w:w="3652"/>
      </w:tblGrid>
      <w:tr>
        <w:trPr>
          <w:tblHeader w:val="true"/>
        </w:trPr>
        <w:tc>
          <w:tcPr>
            <w:tcW w:w="3198"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Risk</w:t>
            </w:r>
          </w:p>
        </w:tc>
        <w:tc>
          <w:tcPr>
            <w:tcW w:w="135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Likelihood</w:t>
            </w:r>
          </w:p>
        </w:tc>
        <w:tc>
          <w:tcPr>
            <w:tcW w:w="115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Impact</w:t>
            </w:r>
          </w:p>
        </w:tc>
        <w:tc>
          <w:tcPr>
            <w:tcW w:w="3652"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Mitigation</w:t>
            </w:r>
          </w:p>
        </w:tc>
      </w:tr>
      <w:tr>
        <w:trPr/>
        <w:tc>
          <w:tcPr>
            <w:tcW w:w="319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Site-health scoring redesign adds material API-call volume and latency at scale</w:t>
            </w:r>
          </w:p>
        </w:tc>
        <w:tc>
          <w:tcPr>
            <w:tcW w:w="13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Medium</w:t>
            </w:r>
          </w:p>
        </w:tc>
        <w:tc>
          <w:tcPr>
            <w:tcW w:w="11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Medium</w:t>
            </w:r>
          </w:p>
        </w:tc>
        <w:tc>
          <w:tcPr>
            <w:tcW w:w="365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Size the per-AP aggregation design before committing; validate against confirmed rate limits (Item 2)</w:t>
            </w:r>
          </w:p>
        </w:tc>
      </w:tr>
      <w:tr>
        <w:trPr/>
        <w:tc>
          <w:tcPr>
            <w:tcW w:w="319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Alert under-reporting due to missing pagination</w:t>
            </w:r>
          </w:p>
        </w:tc>
        <w:tc>
          <w:tcPr>
            <w:tcW w:w="13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Medium</w:t>
            </w:r>
          </w:p>
        </w:tc>
        <w:tc>
          <w:tcPr>
            <w:tcW w:w="11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Medium</w:t>
            </w:r>
          </w:p>
        </w:tc>
        <w:tc>
          <w:tcPr>
            <w:tcW w:w="365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Implement full pagination before production cutover</w:t>
            </w:r>
          </w:p>
        </w:tc>
      </w:tr>
      <w:tr>
        <w:trPr/>
        <w:tc>
          <w:tcPr>
            <w:tcW w:w="319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Plaintext credential storage found in production audit</w:t>
            </w:r>
          </w:p>
        </w:tc>
        <w:tc>
          <w:tcPr>
            <w:tcW w:w="13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Medium</w:t>
            </w:r>
          </w:p>
        </w:tc>
        <w:tc>
          <w:tcPr>
            <w:tcW w:w="11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High</w:t>
            </w:r>
          </w:p>
        </w:tc>
        <w:tc>
          <w:tcPr>
            <w:tcW w:w="365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Move to Vault / Key Vault before production credentials are issued</w:t>
            </w:r>
          </w:p>
        </w:tc>
      </w:tr>
      <w:tr>
        <w:trPr/>
        <w:tc>
          <w:tcPr>
            <w:tcW w:w="319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Aruba Central subscription tier does not include AI Insights / SD-WAN scope</w:t>
            </w:r>
          </w:p>
        </w:tc>
        <w:tc>
          <w:tcPr>
            <w:tcW w:w="13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Medium</w:t>
            </w:r>
          </w:p>
        </w:tc>
        <w:tc>
          <w:tcPr>
            <w:tcW w:w="11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Medium</w:t>
            </w:r>
          </w:p>
        </w:tc>
        <w:tc>
          <w:tcPr>
            <w:tcW w:w="365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Confirm tier with Network Engineering (Item 3) before further design investment</w:t>
            </w:r>
          </w:p>
        </w:tc>
      </w:tr>
    </w:tbl>
    <w:p>
      <w:pPr>
        <w:pStyle w:val="Heading1"/>
        <w:spacing w:before="320" w:after="160"/>
        <w:rPr/>
      </w:pPr>
      <w:r>
        <w:rPr/>
        <w:t>9. Recommendation and Next Steps</w:t>
      </w:r>
    </w:p>
    <w:p>
      <w:pPr>
        <w:pStyle w:val="Normal"/>
        <w:spacing w:before="0" w:after="160"/>
        <w:rPr/>
      </w:pPr>
      <w:r>
        <w:rPr>
          <w:b w:val="false"/>
          <w:bCs w:val="false"/>
          <w:i w:val="false"/>
          <w:iCs w:val="false"/>
        </w:rPr>
        <w:t>Endpoint, credential, and schema confirmation — the substance of D1.1 — is materially complete: authentication, AP inventory, client counts, and alerts are validated against the live API. The recommendation is to bring this document to Network Engineering for review now, closing D1.1 on that basis, while carrying the four Section 7 items forward as tracked follow-ups rather than blockers. Sprint 2's own acceptance criterion — the client validating live wireless data against the Aruba Central portal — is the fuller proof point these items feed into.</w:t>
      </w:r>
    </w:p>
    <w:p>
      <w:pPr>
        <w:pStyle w:val="Normal"/>
        <w:spacing w:before="0" w:after="160"/>
        <w:rPr/>
      </w:pPr>
      <w:r>
        <w:rPr>
          <w:b w:val="false"/>
          <w:bCs w:val="false"/>
          <w:i w:val="false"/>
          <w:iCs w:val="false"/>
        </w:rPr>
        <w:t>Next steps:</w:t>
      </w:r>
    </w:p>
    <w:p>
      <w:pPr>
        <w:pStyle w:val="ListParagraph"/>
        <w:numPr>
          <w:ilvl w:val="0"/>
          <w:numId w:val="2"/>
        </w:numPr>
        <w:spacing w:before="0" w:after="80"/>
        <w:rPr/>
      </w:pPr>
      <w:r>
        <w:rPr/>
        <w:t>Schedule the Network Engineering review session to formally agree this document (D1.1 acceptance criterion).</w:t>
      </w:r>
    </w:p>
    <w:p>
      <w:pPr>
        <w:pStyle w:val="ListParagraph"/>
        <w:numPr>
          <w:ilvl w:val="0"/>
          <w:numId w:val="2"/>
        </w:numPr>
        <w:spacing w:before="0" w:after="80"/>
        <w:rPr/>
      </w:pPr>
      <w:r>
        <w:rPr/>
        <w:t>Decide the site-health scoring approach (Item 1) so Sprint 2 build isn't blocked mid-sprint.</w:t>
      </w:r>
    </w:p>
    <w:p>
      <w:pPr>
        <w:pStyle w:val="ListParagraph"/>
        <w:numPr>
          <w:ilvl w:val="0"/>
          <w:numId w:val="2"/>
        </w:numPr>
        <w:spacing w:before="0" w:after="80"/>
        <w:rPr/>
      </w:pPr>
      <w:r>
        <w:rPr/>
        <w:t>Confirm rate limits and subscription tier (Items 2–3) with Network Engineering.</w:t>
      </w:r>
    </w:p>
    <w:p>
      <w:pPr>
        <w:pStyle w:val="ListParagraph"/>
        <w:numPr>
          <w:ilvl w:val="0"/>
          <w:numId w:val="2"/>
        </w:numPr>
        <w:spacing w:before="0" w:after="80"/>
        <w:rPr/>
      </w:pPr>
      <w:r>
        <w:rPr/>
        <w:t>Implement alert pagination and move credential storage to Vault / Key Vault ahead of production credential issuance.</w:t>
      </w:r>
    </w:p>
    <w:p>
      <w:pPr>
        <w:pStyle w:val="Heading1"/>
        <w:spacing w:before="320" w:after="160"/>
        <w:rPr/>
      </w:pPr>
      <w:r>
        <w:rPr/>
        <w:t>10. Document Control</w:t>
      </w:r>
    </w:p>
    <w:tbl>
      <w:tblPr>
        <w:tblW w:w="9350" w:type="dxa"/>
        <w:jc w:val="start"/>
        <w:tblInd w:w="0" w:type="dxa"/>
        <w:tblLayout w:type="fixed"/>
        <w:tblCellMar>
          <w:top w:w="60" w:type="dxa"/>
          <w:start w:w="100" w:type="dxa"/>
          <w:bottom w:w="60" w:type="dxa"/>
          <w:end w:w="100" w:type="dxa"/>
        </w:tblCellMar>
      </w:tblPr>
      <w:tblGrid>
        <w:gridCol w:w="1398"/>
        <w:gridCol w:w="1800"/>
        <w:gridCol w:w="3602"/>
        <w:gridCol w:w="2550"/>
      </w:tblGrid>
      <w:tr>
        <w:trPr>
          <w:tblHeader w:val="true"/>
        </w:trPr>
        <w:tc>
          <w:tcPr>
            <w:tcW w:w="1398"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Version</w:t>
            </w:r>
          </w:p>
        </w:tc>
        <w:tc>
          <w:tcPr>
            <w:tcW w:w="180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Date</w:t>
            </w:r>
          </w:p>
        </w:tc>
        <w:tc>
          <w:tcPr>
            <w:tcW w:w="3602"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Author</w:t>
            </w:r>
          </w:p>
        </w:tc>
        <w:tc>
          <w:tcPr>
            <w:tcW w:w="255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Changes</w:t>
            </w:r>
          </w:p>
        </w:tc>
      </w:tr>
      <w:tr>
        <w:trPr/>
        <w:tc>
          <w:tcPr>
            <w:tcW w:w="139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v1.0</w:t>
            </w:r>
          </w:p>
        </w:tc>
        <w:tc>
          <w:tcPr>
            <w:tcW w:w="18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[Date]</w:t>
            </w:r>
          </w:p>
        </w:tc>
        <w:tc>
          <w:tcPr>
            <w:tcW w:w="360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BMI Technology | Infrastructure Architecture Team</w:t>
            </w:r>
          </w:p>
        </w:tc>
        <w:tc>
          <w:tcPr>
            <w:tcW w:w="255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Initial release — Sprint 1 discovery document</w:t>
            </w:r>
          </w:p>
        </w:tc>
      </w:tr>
    </w:tbl>
    <w:p>
      <w:pPr>
        <w:pStyle w:val="Normal"/>
        <w:spacing w:before="200" w:after="0"/>
        <w:rPr/>
      </w:pPr>
      <w:r>
        <w:rPr/>
      </w:r>
    </w:p>
    <w:tbl>
      <w:tblPr>
        <w:tblW w:w="9350" w:type="dxa"/>
        <w:jc w:val="start"/>
        <w:tblInd w:w="0" w:type="dxa"/>
        <w:tblLayout w:type="fixed"/>
        <w:tblCellMar>
          <w:top w:w="60" w:type="dxa"/>
          <w:start w:w="100" w:type="dxa"/>
          <w:bottom w:w="60" w:type="dxa"/>
          <w:end w:w="100" w:type="dxa"/>
        </w:tblCellMar>
      </w:tblPr>
      <w:tblGrid>
        <w:gridCol w:w="3100"/>
        <w:gridCol w:w="3548"/>
        <w:gridCol w:w="2702"/>
      </w:tblGrid>
      <w:tr>
        <w:trPr>
          <w:tblHeader w:val="true"/>
        </w:trPr>
        <w:tc>
          <w:tcPr>
            <w:tcW w:w="3100"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Reviewer</w:t>
            </w:r>
          </w:p>
        </w:tc>
        <w:tc>
          <w:tcPr>
            <w:tcW w:w="3548"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Role</w:t>
            </w:r>
          </w:p>
        </w:tc>
        <w:tc>
          <w:tcPr>
            <w:tcW w:w="2702" w:type="dxa"/>
            <w:tcBorders>
              <w:top w:val="single" w:sz="4" w:space="0" w:color="D9D9D9"/>
              <w:start w:val="single" w:sz="4" w:space="0" w:color="D9D9D9"/>
              <w:bottom w:val="single" w:sz="4" w:space="0" w:color="D9D9D9"/>
              <w:end w:val="single" w:sz="4" w:space="0" w:color="D9D9D9"/>
            </w:tcBorders>
            <w:shd w:fill="1F4E5F" w:val="clear"/>
            <w:vAlign w:val="center"/>
          </w:tcPr>
          <w:p>
            <w:pPr>
              <w:pStyle w:val="Normal"/>
              <w:rPr/>
            </w:pPr>
            <w:r>
              <w:rPr>
                <w:b/>
                <w:bCs/>
                <w:i w:val="false"/>
                <w:iCs w:val="false"/>
                <w:color w:val="FFFFFF"/>
                <w:sz w:val="19"/>
                <w:szCs w:val="19"/>
              </w:rPr>
              <w:t>Status</w:t>
            </w:r>
          </w:p>
        </w:tc>
      </w:tr>
      <w:tr>
        <w:trPr/>
        <w:tc>
          <w:tcPr>
            <w:tcW w:w="31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[Name]</w:t>
            </w:r>
          </w:p>
        </w:tc>
        <w:tc>
          <w:tcPr>
            <w:tcW w:w="354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Network Engineering</w:t>
            </w:r>
          </w:p>
        </w:tc>
        <w:tc>
          <w:tcPr>
            <w:tcW w:w="270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Pending Review</w:t>
            </w:r>
          </w:p>
        </w:tc>
      </w:tr>
      <w:tr>
        <w:trPr/>
        <w:tc>
          <w:tcPr>
            <w:tcW w:w="3100"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[Name]</w:t>
            </w:r>
          </w:p>
        </w:tc>
        <w:tc>
          <w:tcPr>
            <w:tcW w:w="3548"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Delivery Lead (BMI Technology)</w:t>
            </w:r>
          </w:p>
        </w:tc>
        <w:tc>
          <w:tcPr>
            <w:tcW w:w="2702" w:type="dxa"/>
            <w:tcBorders>
              <w:top w:val="single" w:sz="4" w:space="0" w:color="D9D9D9"/>
              <w:start w:val="single" w:sz="4" w:space="0" w:color="D9D9D9"/>
              <w:bottom w:val="single" w:sz="4" w:space="0" w:color="D9D9D9"/>
              <w:end w:val="single" w:sz="4" w:space="0" w:color="D9D9D9"/>
            </w:tcBorders>
            <w:vAlign w:val="center"/>
          </w:tcPr>
          <w:p>
            <w:pPr>
              <w:pStyle w:val="Normal"/>
              <w:rPr/>
            </w:pPr>
            <w:r>
              <w:rPr>
                <w:b w:val="false"/>
                <w:bCs w:val="false"/>
                <w:i w:val="false"/>
                <w:iCs w:val="false"/>
                <w:sz w:val="19"/>
                <w:szCs w:val="19"/>
              </w:rPr>
              <w:t>Pending Review</w:t>
            </w:r>
          </w:p>
        </w:tc>
      </w:tr>
    </w:tbl>
    <w:p>
      <w:pPr>
        <w:pStyle w:val="Normal"/>
        <w:spacing w:before="300" w:after="0"/>
        <w:rPr/>
      </w:pPr>
      <w:r>
        <w:rPr>
          <w:i/>
          <w:iCs/>
          <w:color w:val="595959"/>
          <w:sz w:val="16"/>
          <w:szCs w:val="16"/>
        </w:rPr>
        <w:t>Confidential | BMI Technology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en-IN" w:eastAsia="zh-CN" w:bidi="hi-IN"/>
    </w:rPr>
  </w:style>
  <w:style w:type="paragraph" w:styleId="Heading1">
    <w:name w:val="heading 1"/>
    <w:basedOn w:val="Heading"/>
    <w:qFormat/>
    <w:pPr>
      <w:spacing w:before="320" w:after="160"/>
    </w:pPr>
    <w:rPr>
      <w:rFonts w:ascii="Arial" w:hAnsi="Arial" w:eastAsia="Arial" w:cs="Arial"/>
      <w:b/>
      <w:bCs/>
      <w:color w:val="1F4E5F"/>
      <w:sz w:val="26"/>
      <w:szCs w:val="26"/>
    </w:rPr>
  </w:style>
  <w:style w:type="paragraph" w:styleId="Heading2">
    <w:name w:val="heading 2"/>
    <w:basedOn w:val="Heading"/>
    <w:qFormat/>
    <w:pPr>
      <w:spacing w:before="240" w:after="120"/>
    </w:pPr>
    <w:rPr>
      <w:rFonts w:ascii="Arial" w:hAnsi="Arial" w:eastAsia="Arial" w:cs="Arial"/>
      <w:b/>
      <w:bCs/>
      <w:color w:val="1F4E5F"/>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en-IN"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173</TotalTime>
  <Application>LibreOffice/26.2.5.2$Windows_X86_64 LibreOffice_project/cd7284b4cbbfeb507e630c1aac019f4157393acb</Application>
  <AppVersion>15.0000</AppVersion>
  <Pages>6</Pages>
  <Words>1464</Words>
  <Characters>8537</Characters>
  <CharactersWithSpaces>9792</CharactersWithSpaces>
  <Paragraphs>226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2026-08-20T13:29:51Z</dcterms:created>
  <dc:creator>Un-named</dc:creator>
  <dc:description/>
  <dc:language>en-IN</dc:language>
  <cp:lastModifiedBy/>
  <dcterms:modified xsi:type="dcterms:W3CDTF">2026-08-21T18:55:02Z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