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b/>
          <w:bCs/>
          <w:color w:val="1E3A5F"/>
          <w:sz w:val="40"/>
          <w:szCs w:val="40"/>
        </w:rPr>
        <w:t xml:space="preserve">GBS Service Health Dashboard</w:t>
      </w:r>
    </w:p>
    <w:p>
      <w:pPr>
        <w:spacing w:after="300"/>
      </w:pPr>
      <w:r>
        <w:rPr>
          <w:color w:val="334155"/>
          <w:sz w:val="28"/>
          <w:szCs w:val="28"/>
        </w:rPr>
        <w:t xml:space="preserve">API / Query Review &amp; Production-Readiness Assessment</w:t>
      </w:r>
    </w:p>
    <w:p>
      <w:pPr>
        <w:spacing w:after="40"/>
      </w:pPr>
      <w:r>
        <w:rPr>
          <w:i/>
          <w:iCs/>
          <w:color w:val="64748B"/>
          <w:sz w:val="20"/>
          <w:szCs w:val="20"/>
        </w:rPr>
        <w:t xml:space="preserve">Prepared for: Karthik  |  Date: 19 August 2026</w:t>
      </w:r>
    </w:p>
    <w:p>
      <w:pPr>
        <w:spacing w:after="40"/>
      </w:pPr>
      <w:r>
        <w:rPr>
          <w:color w:val="64748B"/>
          <w:sz w:val="20"/>
          <w:szCs w:val="20"/>
        </w:rPr>
        <w:t xml:space="preserve">Scope: Wireless pillar (Aruba Central) and LAN pillar (SolarWinds Observability) -- the two pillars currently implemented in the gbs-poc codebase.</w:t>
      </w:r>
    </w:p>
    <w:p>
      <w:pPr>
        <w:pBdr>
          <w:bottom w:val="single" w:color="CBD5E1" w:sz="6" w:space="1"/>
        </w:pBdr>
        <w:spacing w:after="240" w:before="80"/>
      </w:pPr>
      <w:r>
        <w:rPr>
          <w:sz w:val="2"/>
          <w:szCs w:val="2"/>
        </w:rPr>
        <w:t xml:space="preserve"/>
      </w:r>
    </w:p>
    <w:p>
      <w:pPr>
        <w:pStyle w:val="Heading2"/>
        <w:spacing w:after="120" w:before="280"/>
      </w:pPr>
      <w:r>
        <w:t xml:space="preserve">How to use this document</w:t>
      </w:r>
    </w:p>
    <w:p>
      <w:pPr>
        <w:spacing w:after="160" w:line="276"/>
      </w:pPr>
      <w:r>
        <w:rPr>
          <w:color w:val="1E293B"/>
          <w:sz w:val="21"/>
          <w:szCs w:val="21"/>
        </w:rPr>
        <w:t xml:space="preserve">This is a review, not a change log — nothing in the codebase was modified to produce it. Part 1 audits every external API call and SWQL query the two pillars make today, including a few issues found while reading the code. Part 2 inventories exactly what the current POC dashboard shows. Part 3 is the core ask: what additional parameters and views a production, CXO-facing dashboard should add for better decision-making. Part 4 covers the non-parameter engineering gaps (auth, secrets, HA) that sit alongside the visual gaps. Part 5 maps all of it back onto the roadmap already agreed in the POC Closure Report.</w:t>
      </w:r>
    </w:p>
    <w:p>
      <w:pPr>
        <w:pStyle w:val="Heading1"/>
        <w:spacing w:after="160" w:before="360"/>
      </w:pPr>
      <w:r>
        <w:t xml:space="preserve">Part 1 — API and Query Review</w:t>
      </w:r>
    </w:p>
    <w:p>
      <w:pPr>
        <w:pStyle w:val="Heading2"/>
        <w:spacing w:after="120" w:before="280"/>
      </w:pPr>
      <w:r>
        <w:t xml:space="preserve">1.1 Aruba Central (Wireless pillar)</w:t>
      </w:r>
    </w:p>
    <w:p>
      <w:pPr>
        <w:spacing w:after="160" w:line="276"/>
      </w:pPr>
      <w:r>
        <w:rPr>
          <w:color w:val="1E293B"/>
          <w:sz w:val="21"/>
          <w:szCs w:val="21"/>
        </w:rPr>
        <w:t xml:space="preserve">Endpoints called by ArubaAPIConnector as of the latest fix session:</w:t>
      </w:r>
    </w:p>
    <w:tbl>
      <w:tblPr>
        <w:tblW w:type="dxa" w:w="10100"/>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4300"/>
        <w:gridCol w:w="2400"/>
      </w:tblGrid>
      <w:tr>
        <w:trPr>
          <w:tblHeader/>
        </w:trPr>
        <w:tc>
          <w:tcPr>
            <w:tcW w:type="dxa" w:w="3400"/>
            <w:shd w:fill="1E3A5F" w:val="clear"/>
            <w:tcMar>
              <w:top w:type="dxa" w:w="80"/>
              <w:left w:type="dxa" w:w="110"/>
              <w:bottom w:type="dxa" w:w="80"/>
              <w:right w:type="dxa" w:w="110"/>
            </w:tcMar>
          </w:tcPr>
          <w:p>
            <w:pPr>
              <w:jc w:val="left"/>
            </w:pPr>
            <w:r>
              <w:rPr>
                <w:b/>
                <w:bCs/>
                <w:color w:val="FFFFFF"/>
                <w:sz w:val="19"/>
                <w:szCs w:val="19"/>
              </w:rPr>
              <w:t xml:space="preserve">Endpoint</w:t>
            </w:r>
          </w:p>
        </w:tc>
        <w:tc>
          <w:tcPr>
            <w:tcW w:type="dxa" w:w="4300"/>
            <w:shd w:fill="1E3A5F" w:val="clear"/>
            <w:tcMar>
              <w:top w:type="dxa" w:w="80"/>
              <w:left w:type="dxa" w:w="110"/>
              <w:bottom w:type="dxa" w:w="80"/>
              <w:right w:type="dxa" w:w="110"/>
            </w:tcMar>
          </w:tcPr>
          <w:p>
            <w:pPr>
              <w:jc w:val="left"/>
            </w:pPr>
            <w:r>
              <w:rPr>
                <w:b/>
                <w:bCs/>
                <w:color w:val="FFFFFF"/>
                <w:sz w:val="19"/>
                <w:szCs w:val="19"/>
              </w:rPr>
              <w:t xml:space="preserve">Purpose</w:t>
            </w:r>
          </w:p>
        </w:tc>
        <w:tc>
          <w:tcPr>
            <w:tcW w:type="dxa" w:w="2400"/>
            <w:shd w:fill="1E3A5F" w:val="clear"/>
            <w:tcMar>
              <w:top w:type="dxa" w:w="80"/>
              <w:left w:type="dxa" w:w="110"/>
              <w:bottom w:type="dxa" w:w="80"/>
              <w:right w:type="dxa" w:w="110"/>
            </w:tcMar>
          </w:tcPr>
          <w:p>
            <w:pPr>
              <w:jc w:val="left"/>
            </w:pPr>
            <w:r>
              <w:rPr>
                <w:b/>
                <w:bCs/>
                <w:color w:val="FFFFFF"/>
                <w:sz w:val="19"/>
                <w:szCs w:val="19"/>
              </w:rPr>
              <w:t xml:space="preserve">Status</w:t>
            </w:r>
          </w:p>
        </w:tc>
      </w:tr>
      <w:tr>
        <w:tc>
          <w:tcPr>
            <w:tcW w:type="dxa" w:w="3400"/>
            <w:tcMar>
              <w:top w:type="dxa" w:w="80"/>
              <w:left w:type="dxa" w:w="110"/>
              <w:bottom w:type="dxa" w:w="80"/>
              <w:right w:type="dxa" w:w="110"/>
            </w:tcMar>
          </w:tcPr>
          <w:p>
            <w:pPr>
              <w:jc w:val="left"/>
            </w:pPr>
            <w:r>
              <w:rPr>
                <w:b w:val="false"/>
                <w:bCs w:val="false"/>
                <w:color w:val="1E293B"/>
                <w:sz w:val="19"/>
                <w:szCs w:val="19"/>
              </w:rPr>
              <w:t xml:space="preserve">POST /oauth2/token</w:t>
            </w:r>
          </w:p>
        </w:tc>
        <w:tc>
          <w:tcPr>
            <w:tcW w:type="dxa" w:w="4300"/>
            <w:tcMar>
              <w:top w:type="dxa" w:w="80"/>
              <w:left w:type="dxa" w:w="110"/>
              <w:bottom w:type="dxa" w:w="80"/>
              <w:right w:type="dxa" w:w="110"/>
            </w:tcMar>
          </w:tcPr>
          <w:p>
            <w:pPr>
              <w:jc w:val="left"/>
            </w:pPr>
            <w:r>
              <w:rPr>
                <w:b w:val="false"/>
                <w:bCs w:val="false"/>
                <w:color w:val="1E293B"/>
                <w:sz w:val="19"/>
                <w:szCs w:val="19"/>
              </w:rPr>
              <w:t xml:space="preserve">Access/refresh token lifecycle</w:t>
            </w:r>
          </w:p>
        </w:tc>
        <w:tc>
          <w:tcPr>
            <w:tcW w:type="dxa" w:w="2400"/>
            <w:tcMar>
              <w:top w:type="dxa" w:w="80"/>
              <w:left w:type="dxa" w:w="110"/>
              <w:bottom w:type="dxa" w:w="80"/>
              <w:right w:type="dxa" w:w="110"/>
            </w:tcMar>
          </w:tcPr>
          <w:p>
            <w:pPr>
              <w:jc w:val="left"/>
            </w:pPr>
            <w:r>
              <w:rPr>
                <w:b w:val="false"/>
                <w:bCs w:val="false"/>
                <w:color w:val="1E293B"/>
                <w:sz w:val="19"/>
                <w:szCs w:val="19"/>
              </w:rPr>
              <w:t xml:space="preserve">Working -- refresh_token grant only (client_credentials removed; Aruba's API doesn't support it for this integration type).</w:t>
            </w:r>
          </w:p>
        </w:tc>
      </w:tr>
      <w:tr>
        <w:tc>
          <w:tcPr>
            <w:tcW w:type="dxa" w:w="3400"/>
            <w:shd w:fill="F1F5F9" w:val="clear"/>
            <w:tcMar>
              <w:top w:type="dxa" w:w="80"/>
              <w:left w:type="dxa" w:w="110"/>
              <w:bottom w:type="dxa" w:w="80"/>
              <w:right w:type="dxa" w:w="110"/>
            </w:tcMar>
          </w:tcPr>
          <w:p>
            <w:pPr>
              <w:jc w:val="left"/>
            </w:pPr>
            <w:r>
              <w:rPr>
                <w:b w:val="false"/>
                <w:bCs w:val="false"/>
                <w:color w:val="1E293B"/>
                <w:sz w:val="19"/>
                <w:szCs w:val="19"/>
              </w:rPr>
              <w:t xml:space="preserve">GET /monitoring/v2/aps</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AP inventory + status, paginated</w:t>
            </w:r>
          </w:p>
        </w:tc>
        <w:tc>
          <w:tcPr>
            <w:tcW w:type="dxa" w:w="2400"/>
            <w:shd w:fill="F1F5F9" w:val="clear"/>
            <w:tcMar>
              <w:top w:type="dxa" w:w="80"/>
              <w:left w:type="dxa" w:w="110"/>
              <w:bottom w:type="dxa" w:w="80"/>
              <w:right w:type="dxa" w:w="110"/>
            </w:tcMar>
          </w:tcPr>
          <w:p>
            <w:pPr>
              <w:jc w:val="left"/>
            </w:pPr>
            <w:r>
              <w:rPr>
                <w:b w:val="false"/>
                <w:bCs w:val="false"/>
                <w:color w:val="1E293B"/>
                <w:sz w:val="19"/>
                <w:szCs w:val="19"/>
              </w:rPr>
              <w:t xml:space="preserve">Working.</w:t>
            </w:r>
          </w:p>
        </w:tc>
      </w:tr>
      <w:tr>
        <w:tc>
          <w:tcPr>
            <w:tcW w:type="dxa" w:w="3400"/>
            <w:tcMar>
              <w:top w:type="dxa" w:w="80"/>
              <w:left w:type="dxa" w:w="110"/>
              <w:bottom w:type="dxa" w:w="80"/>
              <w:right w:type="dxa" w:w="110"/>
            </w:tcMar>
          </w:tcPr>
          <w:p>
            <w:pPr>
              <w:jc w:val="left"/>
            </w:pPr>
            <w:r>
              <w:rPr>
                <w:b w:val="false"/>
                <w:bCs w:val="false"/>
                <w:color w:val="1E293B"/>
                <w:sz w:val="19"/>
                <w:szCs w:val="19"/>
              </w:rPr>
              <w:t xml:space="preserve">GET /monitoring/v2/clients</w:t>
            </w:r>
          </w:p>
        </w:tc>
        <w:tc>
          <w:tcPr>
            <w:tcW w:type="dxa" w:w="4300"/>
            <w:tcMar>
              <w:top w:type="dxa" w:w="80"/>
              <w:left w:type="dxa" w:w="110"/>
              <w:bottom w:type="dxa" w:w="80"/>
              <w:right w:type="dxa" w:w="110"/>
            </w:tcMar>
          </w:tcPr>
          <w:p>
            <w:pPr>
              <w:jc w:val="left"/>
            </w:pPr>
            <w:r>
              <w:rPr>
                <w:b w:val="false"/>
                <w:bCs w:val="false"/>
                <w:color w:val="1E293B"/>
                <w:sz w:val="19"/>
                <w:szCs w:val="19"/>
              </w:rPr>
              <w:t xml:space="preserve">Connected clients, paginated</w:t>
            </w:r>
          </w:p>
        </w:tc>
        <w:tc>
          <w:tcPr>
            <w:tcW w:type="dxa" w:w="2400"/>
            <w:tcMar>
              <w:top w:type="dxa" w:w="80"/>
              <w:left w:type="dxa" w:w="110"/>
              <w:bottom w:type="dxa" w:w="80"/>
              <w:right w:type="dxa" w:w="110"/>
            </w:tcMar>
          </w:tcPr>
          <w:p>
            <w:pPr>
              <w:jc w:val="left"/>
            </w:pPr>
            <w:r>
              <w:rPr>
                <w:b w:val="false"/>
                <w:bCs w:val="false"/>
                <w:color w:val="1E293B"/>
                <w:sz w:val="19"/>
                <w:szCs w:val="19"/>
              </w:rPr>
              <w:t xml:space="preserve">Working -- fixed from a nonexistent /clients/count?group_by=site path. Now aggregated to per-site counts client-side.</w:t>
            </w:r>
          </w:p>
        </w:tc>
      </w:tr>
      <w:tr>
        <w:tc>
          <w:tcPr>
            <w:tcW w:type="dxa" w:w="3400"/>
            <w:shd w:fill="F1F5F9" w:val="clear"/>
            <w:tcMar>
              <w:top w:type="dxa" w:w="80"/>
              <w:left w:type="dxa" w:w="110"/>
              <w:bottom w:type="dxa" w:w="80"/>
              <w:right w:type="dxa" w:w="110"/>
            </w:tcMar>
          </w:tcPr>
          <w:p>
            <w:pPr>
              <w:jc w:val="left"/>
            </w:pPr>
            <w:r>
              <w:rPr>
                <w:b w:val="false"/>
                <w:bCs w:val="false"/>
                <w:color w:val="1E293B"/>
                <w:sz w:val="19"/>
                <w:szCs w:val="19"/>
              </w:rPr>
              <w:t xml:space="preserve">GET /central/v1/notifications</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Active alerts</w:t>
            </w:r>
          </w:p>
        </w:tc>
        <w:tc>
          <w:tcPr>
            <w:tcW w:type="dxa" w:w="2400"/>
            <w:shd w:fill="F1F5F9" w:val="clear"/>
            <w:tcMar>
              <w:top w:type="dxa" w:w="80"/>
              <w:left w:type="dxa" w:w="110"/>
              <w:bottom w:type="dxa" w:w="80"/>
              <w:right w:type="dxa" w:w="110"/>
            </w:tcMar>
          </w:tcPr>
          <w:p>
            <w:pPr>
              <w:jc w:val="left"/>
            </w:pPr>
            <w:r>
              <w:rPr>
                <w:b w:val="false"/>
                <w:bCs w:val="false"/>
                <w:color w:val="1E293B"/>
                <w:sz w:val="19"/>
                <w:szCs w:val="19"/>
              </w:rPr>
              <w:t xml:space="preserve">Working -- fixed from a nonexistent /monitoring/v2/alerts path.</w:t>
            </w:r>
          </w:p>
        </w:tc>
      </w:tr>
      <w:tr>
        <w:tc>
          <w:tcPr>
            <w:tcW w:type="dxa" w:w="3400"/>
            <w:tcMar>
              <w:top w:type="dxa" w:w="80"/>
              <w:left w:type="dxa" w:w="110"/>
              <w:bottom w:type="dxa" w:w="80"/>
              <w:right w:type="dxa" w:w="110"/>
            </w:tcMar>
          </w:tcPr>
          <w:p>
            <w:pPr>
              <w:jc w:val="left"/>
            </w:pPr>
            <w:r>
              <w:rPr>
                <w:b w:val="false"/>
                <w:bCs w:val="false"/>
                <w:color w:val="1E293B"/>
                <w:sz w:val="19"/>
                <w:szCs w:val="19"/>
              </w:rPr>
              <w:t xml:space="preserve">GET /aiops/v2/sites/health</w:t>
            </w:r>
          </w:p>
        </w:tc>
        <w:tc>
          <w:tcPr>
            <w:tcW w:type="dxa" w:w="4300"/>
            <w:tcMar>
              <w:top w:type="dxa" w:w="80"/>
              <w:left w:type="dxa" w:w="110"/>
              <w:bottom w:type="dxa" w:w="80"/>
              <w:right w:type="dxa" w:w="110"/>
            </w:tcMar>
          </w:tcPr>
          <w:p>
            <w:pPr>
              <w:jc w:val="left"/>
            </w:pPr>
            <w:r>
              <w:rPr>
                <w:b w:val="false"/>
                <w:bCs w:val="false"/>
                <w:color w:val="1E293B"/>
                <w:sz w:val="19"/>
                <w:szCs w:val="19"/>
              </w:rPr>
              <w:t xml:space="preserve">Composite site health score</w:t>
            </w:r>
          </w:p>
        </w:tc>
        <w:tc>
          <w:tcPr>
            <w:tcW w:type="dxa" w:w="2400"/>
            <w:tcMar>
              <w:top w:type="dxa" w:w="80"/>
              <w:left w:type="dxa" w:w="110"/>
              <w:bottom w:type="dxa" w:w="80"/>
              <w:right w:type="dxa" w:w="110"/>
            </w:tcMar>
          </w:tcPr>
          <w:p>
            <w:pPr>
              <w:jc w:val="left"/>
            </w:pPr>
            <w:r>
              <w:rPr>
                <w:b w:val="false"/>
                <w:bCs w:val="false"/>
                <w:color w:val="1E293B"/>
                <w:sz w:val="19"/>
                <w:szCs w:val="19"/>
              </w:rPr>
              <w:t xml:space="preserve">404 -- no such bulk endpoint exists on Aruba's real API. Falls back to AP-ratio scoring, which is functioning, but the intended data source doesn't exist as designed.</w:t>
            </w:r>
          </w:p>
        </w:tc>
      </w:tr>
    </w:tbl>
    <w:p>
      <w:pPr>
        <w:spacing w:after="160" w:line="276"/>
      </w:pPr>
      <w:r>
        <w:rPr>
          <w:color w:val="1E293B"/>
          <w:sz w:val="21"/>
          <w:szCs w:val="21"/>
        </w:rPr>
        <w:t xml:space="preserve"> </w:t>
      </w:r>
    </w:p>
    <w:p>
      <w:pPr>
        <w:pStyle w:val="Heading3"/>
        <w:spacing w:after="100" w:before="200"/>
      </w:pPr>
      <w:r>
        <w:t xml:space="preserve">Open items for production</w:t>
      </w:r>
    </w:p>
    <w:p>
      <w:pPr>
        <w:pStyle w:val="ListParagraph"/>
        <w:numPr>
          <w:ilvl w:val="0"/>
          <w:numId w:val="2"/>
        </w:numPr>
        <w:spacing w:after="80" w:line="264"/>
      </w:pPr>
      <w:r>
        <w:rPr>
          <w:color w:val="1E293B"/>
          <w:sz w:val="21"/>
          <w:szCs w:val="21"/>
        </w:rPr>
        <w:t xml:space="preserve">Site health scoring: there is no Aruba endpoint that returns a per-site composite health score in one call. Aruba's AIOps API is per-AP or global insight lists, not per-site. If real AI-Insights-based scoring is wanted, it needs a redesign — fetch per-AP insights and aggregate to site level — which is materially more API calls (one per AP or per insight page) and a cost/latency trade-off worth sizing before committing to it.</w:t>
      </w:r>
    </w:p>
    <w:p>
      <w:pPr>
        <w:pStyle w:val="ListParagraph"/>
        <w:numPr>
          <w:ilvl w:val="0"/>
          <w:numId w:val="2"/>
        </w:numPr>
        <w:spacing w:after="80" w:line="264"/>
      </w:pPr>
      <w:r>
        <w:rPr>
          <w:color w:val="1E293B"/>
          <w:sz w:val="21"/>
          <w:szCs w:val="21"/>
        </w:rPr>
        <w:t xml:space="preserve">Alert pagination: /central/v1/notifications is called with a flat limit of 100. There's no paging loop and no indicator if the true open-alert count exceeds 100 — at enterprise scale this can silently under-report active alerts on the dashboard without any visible warning.</w:t>
      </w:r>
    </w:p>
    <w:p>
      <w:pPr>
        <w:pStyle w:val="ListParagraph"/>
        <w:numPr>
          <w:ilvl w:val="0"/>
          <w:numId w:val="2"/>
        </w:numPr>
        <w:spacing w:after="80" w:line="264"/>
      </w:pPr>
      <w:r>
        <w:rPr>
          <w:color w:val="1E293B"/>
          <w:sz w:val="21"/>
          <w:szCs w:val="21"/>
        </w:rPr>
        <w:t xml:space="preserve">Client-count accuracy: because /monitoring/v2/clients/count (the purpose-built aggregate endpoint) doesn't exist in the form assumed, the fix pulls the full client list and counts client-side. At scale (tens of thousands of clients) that means a full paginated fetch every poll cycle just to produce one number per site — worth revisiting once real client volumes are known, e.g. by checking whether a lighter-weight endpoint exists once you're in the Aruba account, or reducing polling frequency for this specific call.</w:t>
      </w:r>
    </w:p>
    <w:p>
      <w:pPr>
        <w:pStyle w:val="ListParagraph"/>
        <w:numPr>
          <w:ilvl w:val="0"/>
          <w:numId w:val="2"/>
        </w:numPr>
        <w:spacing w:after="80" w:line="264"/>
      </w:pPr>
      <w:r>
        <w:rPr>
          <w:color w:val="1E293B"/>
          <w:sz w:val="21"/>
          <w:szCs w:val="21"/>
        </w:rPr>
        <w:t xml:space="preserve">Token custody: the refresh token is currently persisted by rewriting backend/.env in place. Functionally correct for keeping the OAuth chain alive indefinitely, but it's a plaintext credential in a config file — the project's own HLD says secrets belong in Vault/Key Vault, never in config files (Secret Management row, section 7.1).</w:t>
      </w:r>
    </w:p>
    <w:p>
      <w:pPr>
        <w:pStyle w:val="Heading2"/>
        <w:spacing w:after="120" w:before="280"/>
      </w:pPr>
      <w:r>
        <w:t xml:space="preserve">1.2 SolarWinds SWIS (LAN pillar)</w:t>
      </w:r>
    </w:p>
    <w:p>
      <w:pPr>
        <w:spacing w:after="160" w:line="276"/>
      </w:pPr>
      <w:r>
        <w:rPr>
          <w:color w:val="1E293B"/>
          <w:sz w:val="21"/>
          <w:szCs w:val="21"/>
        </w:rPr>
        <w:t xml:space="preserve">Four SWQL queries against the SWIS REST API (solarwinds_connector.py). The security posture here is good and worth calling out specifically: the country custom-property name is validated against a whitelist regex before interpolation, all other query values come from validated config (not user input), Basic Auth credentials and connection-string passwords are redacted from every log/exception path, and 5xx responses get exponential-backoff retries. That said, several architectural issues are worth flagging before this scales to a full global estate:</w:t>
      </w:r>
    </w:p>
    <w:tbl>
      <w:tblPr>
        <w:tblW w:type="dxa" w:w="1010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3200"/>
        <w:gridCol w:w="4300"/>
      </w:tblGrid>
      <w:tr>
        <w:trPr>
          <w:tblHeader/>
        </w:trPr>
        <w:tc>
          <w:tcPr>
            <w:tcW w:type="dxa" w:w="2600"/>
            <w:shd w:fill="1E3A5F" w:val="clear"/>
            <w:tcMar>
              <w:top w:type="dxa" w:w="80"/>
              <w:left w:type="dxa" w:w="110"/>
              <w:bottom w:type="dxa" w:w="80"/>
              <w:right w:type="dxa" w:w="110"/>
            </w:tcMar>
          </w:tcPr>
          <w:p>
            <w:pPr>
              <w:jc w:val="left"/>
            </w:pPr>
            <w:r>
              <w:rPr>
                <w:b/>
                <w:bCs/>
                <w:color w:val="FFFFFF"/>
                <w:sz w:val="19"/>
                <w:szCs w:val="19"/>
              </w:rPr>
              <w:t xml:space="preserve">Query</w:t>
            </w:r>
          </w:p>
        </w:tc>
        <w:tc>
          <w:tcPr>
            <w:tcW w:type="dxa" w:w="3200"/>
            <w:shd w:fill="1E3A5F" w:val="clear"/>
            <w:tcMar>
              <w:top w:type="dxa" w:w="80"/>
              <w:left w:type="dxa" w:w="110"/>
              <w:bottom w:type="dxa" w:w="80"/>
              <w:right w:type="dxa" w:w="110"/>
            </w:tcMar>
          </w:tcPr>
          <w:p>
            <w:pPr>
              <w:jc w:val="left"/>
            </w:pPr>
            <w:r>
              <w:rPr>
                <w:b/>
                <w:bCs/>
                <w:color w:val="FFFFFF"/>
                <w:sz w:val="19"/>
                <w:szCs w:val="19"/>
              </w:rPr>
              <w:t xml:space="preserve">Purpose</w:t>
            </w:r>
          </w:p>
        </w:tc>
        <w:tc>
          <w:tcPr>
            <w:tcW w:type="dxa" w:w="4300"/>
            <w:shd w:fill="1E3A5F" w:val="clear"/>
            <w:tcMar>
              <w:top w:type="dxa" w:w="80"/>
              <w:left w:type="dxa" w:w="110"/>
              <w:bottom w:type="dxa" w:w="80"/>
              <w:right w:type="dxa" w:w="110"/>
            </w:tcMar>
          </w:tcPr>
          <w:p>
            <w:pPr>
              <w:jc w:val="left"/>
            </w:pPr>
            <w:r>
              <w:rPr>
                <w:b/>
                <w:bCs/>
                <w:color w:val="FFFFFF"/>
                <w:sz w:val="19"/>
                <w:szCs w:val="19"/>
              </w:rPr>
              <w:t xml:space="preserve">Notes / risk</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_QUERY_NODES</w:t>
            </w:r>
          </w:p>
        </w:tc>
        <w:tc>
          <w:tcPr>
            <w:tcW w:type="dxa" w:w="3200"/>
            <w:tcMar>
              <w:top w:type="dxa" w:w="80"/>
              <w:left w:type="dxa" w:w="110"/>
              <w:bottom w:type="dxa" w:w="80"/>
              <w:right w:type="dxa" w:w="110"/>
            </w:tcMar>
          </w:tcPr>
          <w:p>
            <w:pPr>
              <w:jc w:val="left"/>
            </w:pPr>
            <w:r>
              <w:rPr>
                <w:b w:val="false"/>
                <w:bCs w:val="false"/>
                <w:color w:val="1E293B"/>
                <w:sz w:val="19"/>
                <w:szCs w:val="19"/>
              </w:rPr>
              <w:t xml:space="preserve">SELECT all Orion.Nodes with country custom property</w:t>
            </w:r>
          </w:p>
        </w:tc>
        <w:tc>
          <w:tcPr>
            <w:tcW w:type="dxa" w:w="4300"/>
            <w:tcMar>
              <w:top w:type="dxa" w:w="80"/>
              <w:left w:type="dxa" w:w="110"/>
              <w:bottom w:type="dxa" w:w="80"/>
              <w:right w:type="dxa" w:w="110"/>
            </w:tcMar>
          </w:tcPr>
          <w:p>
            <w:pPr>
              <w:jc w:val="left"/>
            </w:pPr>
            <w:r>
              <w:rPr>
                <w:b w:val="false"/>
                <w:bCs w:val="false"/>
                <w:color w:val="1E293B"/>
                <w:sz w:val="19"/>
                <w:szCs w:val="19"/>
              </w:rPr>
              <w:t xml:space="preserve">No WHERE clause at all -- pulls every node in the Orion instance on every 60s cycle, with no row cap. If Orion.Nodes contains node types outside LAN switches (routers, servers, etc., depending on how the instance is scoped), this pillar will silently include them. No pagination -- a large estate risks large single-response payloads and timeout pressure on the 30s httpx timeout.</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_QUERY_INTERFACES</w:t>
            </w:r>
          </w:p>
        </w:tc>
        <w:tc>
          <w:tcPr>
            <w:tcW w:type="dxa" w:w="3200"/>
            <w:shd w:fill="F1F5F9" w:val="clear"/>
            <w:tcMar>
              <w:top w:type="dxa" w:w="80"/>
              <w:left w:type="dxa" w:w="110"/>
              <w:bottom w:type="dxa" w:w="80"/>
              <w:right w:type="dxa" w:w="110"/>
            </w:tcMar>
          </w:tcPr>
          <w:p>
            <w:pPr>
              <w:jc w:val="left"/>
            </w:pPr>
            <w:r>
              <w:rPr>
                <w:b w:val="false"/>
                <w:bCs w:val="false"/>
                <w:color w:val="1E293B"/>
                <w:sz w:val="19"/>
                <w:szCs w:val="19"/>
              </w:rPr>
              <w:t xml:space="preserve">MAX/AVG utilisation per node, filtered to one InterfaceType</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Aggregates ALL interfaces of that type per node into one MAX/AVG figure. A single congested interface on an otherwise healthy switch is invisible -- the node-level score can't tell you which physical interface is the problem. There's no interface-level record anywhere in the data model, so this is a structural limitation, not just a query tweak.</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_QUERY_ALERTS</w:t>
            </w:r>
          </w:p>
        </w:tc>
        <w:tc>
          <w:tcPr>
            <w:tcW w:type="dxa" w:w="3200"/>
            <w:tcMar>
              <w:top w:type="dxa" w:w="80"/>
              <w:left w:type="dxa" w:w="110"/>
              <w:bottom w:type="dxa" w:w="80"/>
              <w:right w:type="dxa" w:w="110"/>
            </w:tcMar>
          </w:tcPr>
          <w:p>
            <w:pPr>
              <w:jc w:val="left"/>
            </w:pPr>
            <w:r>
              <w:rPr>
                <w:b w:val="false"/>
                <w:bCs w:val="false"/>
                <w:color w:val="1E293B"/>
                <w:sz w:val="19"/>
                <w:szCs w:val="19"/>
              </w:rPr>
              <w:t xml:space="preserve">TOP {limit} active alerts by severity</w:t>
            </w:r>
          </w:p>
        </w:tc>
        <w:tc>
          <w:tcPr>
            <w:tcW w:type="dxa" w:w="4300"/>
            <w:tcMar>
              <w:top w:type="dxa" w:w="80"/>
              <w:left w:type="dxa" w:w="110"/>
              <w:bottom w:type="dxa" w:w="80"/>
              <w:right w:type="dxa" w:w="110"/>
            </w:tcMar>
          </w:tcPr>
          <w:p>
            <w:pPr>
              <w:jc w:val="left"/>
            </w:pPr>
            <w:r>
              <w:rPr>
                <w:b w:val="false"/>
                <w:bCs w:val="false"/>
                <w:color w:val="1E293B"/>
                <w:sz w:val="19"/>
                <w:szCs w:val="19"/>
              </w:rPr>
              <w:t xml:space="preserve">Hard-capped at 500 (SW_ALERT_LIMIT, clamped server-side). No indicator anywhere downstream if the true active-alert count exceeds the cap -- same silent-truncation risk as the Aruba notifications call.</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_QUERY_COUNTRIES</w:t>
            </w:r>
          </w:p>
        </w:tc>
        <w:tc>
          <w:tcPr>
            <w:tcW w:type="dxa" w:w="3200"/>
            <w:shd w:fill="F1F5F9" w:val="clear"/>
            <w:tcMar>
              <w:top w:type="dxa" w:w="80"/>
              <w:left w:type="dxa" w:w="110"/>
              <w:bottom w:type="dxa" w:w="80"/>
              <w:right w:type="dxa" w:w="110"/>
            </w:tcMar>
          </w:tcPr>
          <w:p>
            <w:pPr>
              <w:jc w:val="left"/>
            </w:pPr>
            <w:r>
              <w:rPr>
                <w:b w:val="false"/>
                <w:bCs w:val="false"/>
                <w:color w:val="1E293B"/>
                <w:sz w:val="19"/>
                <w:szCs w:val="19"/>
              </w:rPr>
              <w:t xml:space="preserve">Distinct country + node count</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Depends entirely on one custom property (SW_COUNTRY_PROPERTY) being populated consistently across every onboarded node. Any node missing it falls into a catch-all 'Unclassified' bucket with no visibility into how large that bucket is relative to the classified total -- worth surfacing as its own metric.</w:t>
            </w:r>
          </w:p>
        </w:tc>
      </w:tr>
    </w:tbl>
    <w:p>
      <w:pPr>
        <w:spacing w:after="160" w:line="276"/>
      </w:pPr>
      <w:r>
        <w:rPr>
          <w:color w:val="1E293B"/>
          <w:sz w:val="21"/>
          <w:szCs w:val="21"/>
        </w:rPr>
        <w:t xml:space="preserve"> </w:t>
      </w:r>
    </w:p>
    <w:p>
      <w:pPr>
        <w:pStyle w:val="Heading3"/>
        <w:spacing w:after="100" w:before="200"/>
      </w:pPr>
      <w:r>
        <w:t xml:space="preserve">Additional findings</w:t>
      </w:r>
    </w:p>
    <w:p>
      <w:pPr>
        <w:pStyle w:val="ListParagraph"/>
        <w:numPr>
          <w:ilvl w:val="0"/>
          <w:numId w:val="2"/>
        </w:numPr>
        <w:spacing w:after="80" w:line="264"/>
      </w:pPr>
      <w:r>
        <w:rPr>
          <w:color w:val="1E293B"/>
          <w:sz w:val="21"/>
          <w:szCs w:val="21"/>
        </w:rPr>
        <w:t xml:space="preserve">Connection reuse: the module docstring states “Single httpx.Client reused across all queries in one cycle (connection pool)”, but the code doesn't do that -- fetch_nodes(), fetch_interfaces(), and fetch_alerts() each open and close their own httpx.Client independently, so every LAN poll cycle does three separate TCP/TLS/Basic-Auth handshakes to SWIS instead of one. Minor inefficiency today; worth fixing before polling frequency increases or the node count grows, since it multiplies connection overhead against the Orion server.</w:t>
      </w:r>
    </w:p>
    <w:p>
      <w:pPr>
        <w:pStyle w:val="ListParagraph"/>
        <w:numPr>
          <w:ilvl w:val="0"/>
          <w:numId w:val="2"/>
        </w:numPr>
        <w:spacing w:after="80" w:line="264"/>
      </w:pPr>
      <w:r>
        <w:rPr>
          <w:color w:val="1E293B"/>
          <w:sz w:val="21"/>
          <w:szCs w:val="21"/>
        </w:rPr>
        <w:t xml:space="preserve">No SWIS-side rate-limit awareness: SolarWinds Orion has a limit on concurrent SWIS sessions per account. Nothing in this connector tracks or backs off from that limit specifically (only generic 5xx retry) -- worth confirming with the SolarWinds admin what the account's concurrent session ceiling is before rolling out org-wide.</w:t>
      </w:r>
    </w:p>
    <w:p>
      <w:pPr>
        <w:pStyle w:val="ListParagraph"/>
        <w:numPr>
          <w:ilvl w:val="0"/>
          <w:numId w:val="2"/>
        </w:numPr>
        <w:spacing w:after="80" w:line="264"/>
      </w:pPr>
      <w:r>
        <w:rPr>
          <w:color w:val="1E293B"/>
          <w:sz w:val="21"/>
          <w:szCs w:val="21"/>
        </w:rPr>
        <w:t xml:space="preserve">SW_VERIFY_SSL=false and a plaintext SW_PASSWORD in .env are both explicitly flagged in the code as POC-only -- same Vault gap as the Aruba refresh token, called out again in Part 4.</w:t>
      </w:r>
    </w:p>
    <w:p>
      <w:pPr>
        <w:pStyle w:val="Heading1"/>
        <w:spacing w:after="160" w:before="360"/>
      </w:pPr>
      <w:r>
        <w:t xml:space="preserve">Part 2 — Current Dashboard Parameter Inventory (POC)</w:t>
      </w:r>
    </w:p>
    <w:p>
      <w:pPr>
        <w:spacing w:after="160" w:line="276"/>
      </w:pPr>
      <w:r>
        <w:rPr>
          <w:color w:val="1E293B"/>
          <w:sz w:val="21"/>
          <w:szCs w:val="21"/>
        </w:rPr>
        <w:t xml:space="preserve">What the dashboard shows today, pillar by pillar, based on the deployed frontend components.</w:t>
      </w:r>
    </w:p>
    <w:p>
      <w:pPr>
        <w:pStyle w:val="Heading2"/>
        <w:spacing w:after="120" w:before="280"/>
      </w:pPr>
      <w:r>
        <w:t xml:space="preserve">2.1 Wireless pillar (Aruba)</w:t>
      </w:r>
    </w:p>
    <w:tbl>
      <w:tblPr>
        <w:tblW w:type="dxa" w:w="1010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7500"/>
      </w:tblGrid>
      <w:tr>
        <w:trPr>
          <w:tblHeader/>
        </w:trPr>
        <w:tc>
          <w:tcPr>
            <w:tcW w:type="dxa" w:w="2600"/>
            <w:shd w:fill="1E3A5F" w:val="clear"/>
            <w:tcMar>
              <w:top w:type="dxa" w:w="80"/>
              <w:left w:type="dxa" w:w="110"/>
              <w:bottom w:type="dxa" w:w="80"/>
              <w:right w:type="dxa" w:w="110"/>
            </w:tcMar>
          </w:tcPr>
          <w:p>
            <w:pPr>
              <w:jc w:val="left"/>
            </w:pPr>
            <w:r>
              <w:rPr>
                <w:b/>
                <w:bCs/>
                <w:color w:val="FFFFFF"/>
                <w:sz w:val="19"/>
                <w:szCs w:val="19"/>
              </w:rPr>
              <w:t xml:space="preserve">Area</w:t>
            </w:r>
          </w:p>
        </w:tc>
        <w:tc>
          <w:tcPr>
            <w:tcW w:type="dxa" w:w="7500"/>
            <w:shd w:fill="1E3A5F" w:val="clear"/>
            <w:tcMar>
              <w:top w:type="dxa" w:w="80"/>
              <w:left w:type="dxa" w:w="110"/>
              <w:bottom w:type="dxa" w:w="80"/>
              <w:right w:type="dxa" w:w="110"/>
            </w:tcMar>
          </w:tcPr>
          <w:p>
            <w:pPr>
              <w:jc w:val="left"/>
            </w:pPr>
            <w:r>
              <w:rPr>
                <w:b/>
                <w:bCs/>
                <w:color w:val="FFFFFF"/>
                <w:sz w:val="19"/>
                <w:szCs w:val="19"/>
              </w:rPr>
              <w:t xml:space="preserve">Fields shown</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Headline gauge</w:t>
            </w:r>
          </w:p>
        </w:tc>
        <w:tc>
          <w:tcPr>
            <w:tcW w:type="dxa" w:w="7500"/>
            <w:tcMar>
              <w:top w:type="dxa" w:w="80"/>
              <w:left w:type="dxa" w:w="110"/>
              <w:bottom w:type="dxa" w:w="80"/>
              <w:right w:type="dxa" w:w="110"/>
            </w:tcMar>
          </w:tcPr>
          <w:p>
            <w:pPr>
              <w:jc w:val="left"/>
            </w:pPr>
            <w:r>
              <w:rPr>
                <w:b w:val="false"/>
                <w:bCs w:val="false"/>
                <w:color w:val="1E293B"/>
                <w:sz w:val="19"/>
                <w:szCs w:val="19"/>
              </w:rPr>
              <w:t xml:space="preserve">Overall composite score (0-100) + green/amber/red status</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KPI tiles</w:t>
            </w:r>
          </w:p>
        </w:tc>
        <w:tc>
          <w:tcPr>
            <w:tcW w:type="dxa" w:w="7500"/>
            <w:shd w:fill="F1F5F9" w:val="clear"/>
            <w:tcMar>
              <w:top w:type="dxa" w:w="80"/>
              <w:left w:type="dxa" w:w="110"/>
              <w:bottom w:type="dxa" w:w="80"/>
              <w:right w:type="dxa" w:w="110"/>
            </w:tcMar>
          </w:tcPr>
          <w:p>
            <w:pPr>
              <w:jc w:val="left"/>
            </w:pPr>
            <w:r>
              <w:rPr>
                <w:b w:val="false"/>
                <w:bCs w:val="false"/>
                <w:color w:val="1E293B"/>
                <w:sz w:val="19"/>
                <w:szCs w:val="19"/>
              </w:rPr>
              <w:t xml:space="preserve">APs Online / Total APs, Connected Clients, Active Alerts (+ critical count), Sites Healthy / Degraded, Sites Critical, Total Sites</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Site table</w:t>
            </w:r>
          </w:p>
        </w:tc>
        <w:tc>
          <w:tcPr>
            <w:tcW w:type="dxa" w:w="7500"/>
            <w:tcMar>
              <w:top w:type="dxa" w:w="80"/>
              <w:left w:type="dxa" w:w="110"/>
              <w:bottom w:type="dxa" w:w="80"/>
              <w:right w:type="dxa" w:w="110"/>
            </w:tcMar>
          </w:tcPr>
          <w:p>
            <w:pPr>
              <w:jc w:val="left"/>
            </w:pPr>
            <w:r>
              <w:rPr>
                <w:b w:val="false"/>
                <w:bCs w:val="false"/>
                <w:color w:val="1E293B"/>
                <w:sz w:val="19"/>
                <w:szCs w:val="19"/>
              </w:rPr>
              <w:t xml:space="preserve">Site name, composite score, status, AP online % (+ online/total), client count, auth failures/hour, uplink quality, current alert severity</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Alert feed</w:t>
            </w:r>
          </w:p>
        </w:tc>
        <w:tc>
          <w:tcPr>
            <w:tcW w:type="dxa" w:w="7500"/>
            <w:shd w:fill="F1F5F9" w:val="clear"/>
            <w:tcMar>
              <w:top w:type="dxa" w:w="80"/>
              <w:left w:type="dxa" w:w="110"/>
              <w:bottom w:type="dxa" w:w="80"/>
              <w:right w:type="dxa" w:w="110"/>
            </w:tcMar>
          </w:tcPr>
          <w:p>
            <w:pPr>
              <w:jc w:val="left"/>
            </w:pPr>
            <w:r>
              <w:rPr>
                <w:b w:val="false"/>
                <w:bCs w:val="false"/>
                <w:color w:val="1E293B"/>
                <w:sz w:val="19"/>
                <w:szCs w:val="19"/>
              </w:rPr>
              <w:t xml:space="preserve">Site, severity, description, timestamp -- current open alerts only</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Trend chart</w:t>
            </w:r>
          </w:p>
        </w:tc>
        <w:tc>
          <w:tcPr>
            <w:tcW w:type="dxa" w:w="7500"/>
            <w:tcMar>
              <w:top w:type="dxa" w:w="80"/>
              <w:left w:type="dxa" w:w="110"/>
              <w:bottom w:type="dxa" w:w="80"/>
              <w:right w:type="dxa" w:w="110"/>
            </w:tcMar>
          </w:tcPr>
          <w:p>
            <w:pPr>
              <w:jc w:val="left"/>
            </w:pPr>
            <w:r>
              <w:rPr>
                <w:b w:val="false"/>
                <w:bCs w:val="false"/>
                <w:color w:val="1E293B"/>
                <w:sz w:val="19"/>
                <w:szCs w:val="19"/>
              </w:rPr>
              <w:t xml:space="preserve">7-day (default, up to 30-day) hourly health score and AP-online % -- two lines only</w:t>
            </w:r>
          </w:p>
        </w:tc>
      </w:tr>
    </w:tbl>
    <w:p>
      <w:pPr>
        <w:pStyle w:val="Heading2"/>
        <w:spacing w:after="120" w:before="280"/>
      </w:pPr>
      <w:r>
        <w:t xml:space="preserve">2.2 LAN pillar (SolarWinds)</w:t>
      </w:r>
    </w:p>
    <w:tbl>
      <w:tblPr>
        <w:tblW w:type="dxa" w:w="1010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7500"/>
      </w:tblGrid>
      <w:tr>
        <w:trPr>
          <w:tblHeader/>
        </w:trPr>
        <w:tc>
          <w:tcPr>
            <w:tcW w:type="dxa" w:w="2600"/>
            <w:shd w:fill="1E3A5F" w:val="clear"/>
            <w:tcMar>
              <w:top w:type="dxa" w:w="80"/>
              <w:left w:type="dxa" w:w="110"/>
              <w:bottom w:type="dxa" w:w="80"/>
              <w:right w:type="dxa" w:w="110"/>
            </w:tcMar>
          </w:tcPr>
          <w:p>
            <w:pPr>
              <w:jc w:val="left"/>
            </w:pPr>
            <w:r>
              <w:rPr>
                <w:b/>
                <w:bCs/>
                <w:color w:val="FFFFFF"/>
                <w:sz w:val="19"/>
                <w:szCs w:val="19"/>
              </w:rPr>
              <w:t xml:space="preserve">Area</w:t>
            </w:r>
          </w:p>
        </w:tc>
        <w:tc>
          <w:tcPr>
            <w:tcW w:type="dxa" w:w="7500"/>
            <w:shd w:fill="1E3A5F" w:val="clear"/>
            <w:tcMar>
              <w:top w:type="dxa" w:w="80"/>
              <w:left w:type="dxa" w:w="110"/>
              <w:bottom w:type="dxa" w:w="80"/>
              <w:right w:type="dxa" w:w="110"/>
            </w:tcMar>
          </w:tcPr>
          <w:p>
            <w:pPr>
              <w:jc w:val="left"/>
            </w:pPr>
            <w:r>
              <w:rPr>
                <w:b/>
                <w:bCs/>
                <w:color w:val="FFFFFF"/>
                <w:sz w:val="19"/>
                <w:szCs w:val="19"/>
              </w:rPr>
              <w:t xml:space="preserve">Fields shown</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KPI tiles</w:t>
            </w:r>
          </w:p>
        </w:tc>
        <w:tc>
          <w:tcPr>
            <w:tcW w:type="dxa" w:w="7500"/>
            <w:tcMar>
              <w:top w:type="dxa" w:w="80"/>
              <w:left w:type="dxa" w:w="110"/>
              <w:bottom w:type="dxa" w:w="80"/>
              <w:right w:type="dxa" w:w="110"/>
            </w:tcMar>
          </w:tcPr>
          <w:p>
            <w:pPr>
              <w:jc w:val="left"/>
            </w:pPr>
            <w:r>
              <w:rPr>
                <w:b w:val="false"/>
                <w:bCs w:val="false"/>
                <w:color w:val="1E293B"/>
                <w:sz w:val="19"/>
                <w:szCs w:val="19"/>
              </w:rPr>
              <w:t xml:space="preserve">Nodes Up, Nodes Down, Active Alerts, Avg Packet Loss</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Country/group table (global view)</w:t>
            </w:r>
          </w:p>
        </w:tc>
        <w:tc>
          <w:tcPr>
            <w:tcW w:type="dxa" w:w="7500"/>
            <w:shd w:fill="F1F5F9" w:val="clear"/>
            <w:tcMar>
              <w:top w:type="dxa" w:w="80"/>
              <w:left w:type="dxa" w:w="110"/>
              <w:bottom w:type="dxa" w:w="80"/>
              <w:right w:type="dxa" w:w="110"/>
            </w:tcMar>
          </w:tcPr>
          <w:p>
            <w:pPr>
              <w:jc w:val="left"/>
            </w:pPr>
            <w:r>
              <w:rPr>
                <w:b w:val="false"/>
                <w:bCs w:val="false"/>
                <w:color w:val="1E293B"/>
                <w:sz w:val="19"/>
                <w:szCs w:val="19"/>
              </w:rPr>
              <w:t xml:space="preserve">Country, node count, weighted score, nodes up/down, avg loss %, alert count, status</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Node table (drill-down view)</w:t>
            </w:r>
          </w:p>
        </w:tc>
        <w:tc>
          <w:tcPr>
            <w:tcW w:type="dxa" w:w="7500"/>
            <w:tcMar>
              <w:top w:type="dxa" w:w="80"/>
              <w:left w:type="dxa" w:w="110"/>
              <w:bottom w:type="dxa" w:w="80"/>
              <w:right w:type="dxa" w:w="110"/>
            </w:tcMar>
          </w:tcPr>
          <w:p>
            <w:pPr>
              <w:jc w:val="left"/>
            </w:pPr>
            <w:r>
              <w:rPr>
                <w:b w:val="false"/>
                <w:bCs w:val="false"/>
                <w:color w:val="1E293B"/>
                <w:sz w:val="19"/>
                <w:szCs w:val="19"/>
              </w:rPr>
              <w:t xml:space="preserve">Node name, IP, composite score, packet loss %, avg response ms, in-utilisation %, current alert, status</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Alert feed</w:t>
            </w:r>
          </w:p>
        </w:tc>
        <w:tc>
          <w:tcPr>
            <w:tcW w:type="dxa" w:w="7500"/>
            <w:shd w:fill="F1F5F9" w:val="clear"/>
            <w:tcMar>
              <w:top w:type="dxa" w:w="80"/>
              <w:left w:type="dxa" w:w="110"/>
              <w:bottom w:type="dxa" w:w="80"/>
              <w:right w:type="dxa" w:w="110"/>
            </w:tcMar>
          </w:tcPr>
          <w:p>
            <w:pPr>
              <w:jc w:val="left"/>
            </w:pPr>
            <w:r>
              <w:rPr>
                <w:b w:val="false"/>
                <w:bCs w:val="false"/>
                <w:color w:val="1E293B"/>
                <w:sz w:val="19"/>
                <w:szCs w:val="19"/>
              </w:rPr>
              <w:t xml:space="preserve">Similar pattern to wireless -- node, severity, description, trigger time</w:t>
            </w:r>
          </w:p>
        </w:tc>
      </w:tr>
      <w:tr>
        <w:tc>
          <w:tcPr>
            <w:tcW w:type="dxa" w:w="2600"/>
            <w:tcMar>
              <w:top w:type="dxa" w:w="80"/>
              <w:left w:type="dxa" w:w="110"/>
              <w:bottom w:type="dxa" w:w="80"/>
              <w:right w:type="dxa" w:w="110"/>
            </w:tcMar>
          </w:tcPr>
          <w:p>
            <w:pPr>
              <w:jc w:val="left"/>
            </w:pPr>
            <w:r>
              <w:rPr>
                <w:b w:val="false"/>
                <w:bCs w:val="false"/>
                <w:color w:val="1E293B"/>
                <w:sz w:val="19"/>
                <w:szCs w:val="19"/>
              </w:rPr>
              <w:t xml:space="preserve">Trend chart</w:t>
            </w:r>
          </w:p>
        </w:tc>
        <w:tc>
          <w:tcPr>
            <w:tcW w:type="dxa" w:w="7500"/>
            <w:tcMar>
              <w:top w:type="dxa" w:w="80"/>
              <w:left w:type="dxa" w:w="110"/>
              <w:bottom w:type="dxa" w:w="80"/>
              <w:right w:type="dxa" w:w="110"/>
            </w:tcMar>
          </w:tcPr>
          <w:p>
            <w:pPr>
              <w:jc w:val="left"/>
            </w:pPr>
            <w:r>
              <w:rPr>
                <w:b w:val="false"/>
                <w:bCs w:val="false"/>
                <w:color w:val="1E293B"/>
                <w:sz w:val="19"/>
                <w:szCs w:val="19"/>
              </w:rPr>
              <w:t xml:space="preserve">Hourly avg score, nodes-up %, avg loss % -- scope-aware (all / group / country)</w:t>
            </w:r>
          </w:p>
        </w:tc>
      </w:tr>
      <w:tr>
        <w:tc>
          <w:tcPr>
            <w:tcW w:type="dxa" w:w="2600"/>
            <w:shd w:fill="F1F5F9" w:val="clear"/>
            <w:tcMar>
              <w:top w:type="dxa" w:w="80"/>
              <w:left w:type="dxa" w:w="110"/>
              <w:bottom w:type="dxa" w:w="80"/>
              <w:right w:type="dxa" w:w="110"/>
            </w:tcMar>
          </w:tcPr>
          <w:p>
            <w:pPr>
              <w:jc w:val="left"/>
            </w:pPr>
            <w:r>
              <w:rPr>
                <w:b w:val="false"/>
                <w:bCs w:val="false"/>
                <w:color w:val="1E293B"/>
                <w:sz w:val="19"/>
                <w:szCs w:val="19"/>
              </w:rPr>
              <w:t xml:space="preserve">Scope selector</w:t>
            </w:r>
          </w:p>
        </w:tc>
        <w:tc>
          <w:tcPr>
            <w:tcW w:type="dxa" w:w="7500"/>
            <w:shd w:fill="F1F5F9" w:val="clear"/>
            <w:tcMar>
              <w:top w:type="dxa" w:w="80"/>
              <w:left w:type="dxa" w:w="110"/>
              <w:bottom w:type="dxa" w:w="80"/>
              <w:right w:type="dxa" w:w="110"/>
            </w:tcMar>
          </w:tcPr>
          <w:p>
            <w:pPr>
              <w:jc w:val="left"/>
            </w:pPr>
            <w:r>
              <w:rPr>
                <w:b w:val="false"/>
                <w:bCs w:val="false"/>
                <w:color w:val="1E293B"/>
                <w:sz w:val="19"/>
                <w:szCs w:val="19"/>
              </w:rPr>
              <w:t xml:space="preserve">All / region group / single country, backed by sw_country_groups</w:t>
            </w:r>
          </w:p>
        </w:tc>
      </w:tr>
    </w:tbl>
    <w:p>
      <w:pPr>
        <w:pStyle w:val="Heading2"/>
        <w:spacing w:after="120" w:before="280"/>
      </w:pPr>
      <w:r>
        <w:t xml:space="preserve">2.3 Overall (GBS strip)</w:t>
      </w:r>
    </w:p>
    <w:p>
      <w:pPr>
        <w:spacing w:after="160" w:line="276"/>
      </w:pPr>
      <w:r>
        <w:rPr>
          <w:color w:val="1E293B"/>
          <w:sz w:val="21"/>
          <w:szCs w:val="21"/>
        </w:rPr>
        <w:t xml:space="preserve">A five-pillar accordion strip (Wireless, AVD, Applications, Printing, LAN) shows a single-letter badge and status dot per pillar. Only Wireless and LAN are live; AVD, Applications, and Printing render as greyed “pending” rows referencing their planned phase. There is no cross-pillar composite GBS score yet -- each pillar's score stands alone.</w:t>
      </w:r>
    </w:p>
    <w:p>
      <w:pPr>
        <w:pStyle w:val="Heading1"/>
        <w:spacing w:after="160" w:before="360"/>
      </w:pPr>
      <w:r>
        <w:t xml:space="preserve">Part 3 — Production Readiness: Parameters &amp; Views to Add</w:t>
      </w:r>
    </w:p>
    <w:p>
      <w:pPr>
        <w:spacing w:after="160" w:line="276"/>
      </w:pPr>
      <w:r>
        <w:rPr>
          <w:color w:val="1E293B"/>
          <w:sz w:val="21"/>
          <w:szCs w:val="21"/>
        </w:rPr>
        <w:t xml:space="preserve">The POC dashboard answers “what's the status right now.” A production, CXO-facing dashboard needs to additionally answer “how are we trending, where's the risk, and what needs a decision.” The gaps below are grouped by the kind of decision they support.</w:t>
      </w:r>
    </w:p>
    <w:p>
      <w:pPr>
        <w:pStyle w:val="Heading2"/>
        <w:spacing w:after="120" w:before="280"/>
      </w:pPr>
      <w:r>
        <w:t xml:space="preserve">3.1 SLA / availability reporting</w:t>
      </w:r>
    </w:p>
    <w:p>
      <w:pPr>
        <w:spacing w:after="160" w:line="276"/>
      </w:pPr>
      <w:r>
        <w:rPr>
          <w:color w:val="1E293B"/>
          <w:sz w:val="21"/>
          <w:szCs w:val="21"/>
        </w:rPr>
        <w:t xml:space="preserve">Nothing in the current model tracks uptime as a percentage over a period -- only instantaneous green/amber/red and a point-in-time score. For any SLA-bound conversation with leadership or a vendor, “99.4% site availability this month” is a fundamentally different (and more decision-useful) number than “score is 82 right now.” Recommend adding a rolling uptime/availability percentage per site and per country, computed from the time-series already being persisted (wireless_metrics / lan_metrics both have the raw history to backfill this from day one).</w:t>
      </w:r>
    </w:p>
    <w:p>
      <w:pPr>
        <w:pStyle w:val="Heading2"/>
        <w:spacing w:after="120" w:before="280"/>
      </w:pPr>
      <w:r>
        <w:t xml:space="preserve">3.2 Alert aging, MTTA, MTTR</w:t>
      </w:r>
    </w:p>
    <w:p>
      <w:pPr>
        <w:spacing w:after="160" w:line="276"/>
      </w:pPr>
      <w:r>
        <w:rPr>
          <w:color w:val="1E293B"/>
          <w:sz w:val="21"/>
          <w:szCs w:val="21"/>
        </w:rPr>
        <w:t xml:space="preserve">Alerts currently show only severity, description, and trigger time -- there's no “how long has this been open” indicator, and the LAN alert model already carries an acknowledged flag that the UI never surfaces. For Ops decision-making (what to work next) and for CXO reporting (are we resolving things faster), recommend: an age/duration column on every alert row, a visible acknowledged/unacknowledged state with the ability to acknowledge from the dashboard, and rolling MTTA (mean time to acknowledge) / MTTR (mean time to resolve) metrics once alert-close events are captured.</w:t>
      </w:r>
    </w:p>
    <w:p>
      <w:pPr>
        <w:pStyle w:val="Heading2"/>
        <w:spacing w:after="120" w:before="280"/>
      </w:pPr>
      <w:r>
        <w:t xml:space="preserve">3.3 Capacity and growth trend</w:t>
      </w:r>
    </w:p>
    <w:p>
      <w:pPr>
        <w:spacing w:after="160" w:line="276"/>
      </w:pPr>
      <w:r>
        <w:rPr>
          <w:color w:val="1E293B"/>
          <w:sz w:val="21"/>
          <w:szCs w:val="21"/>
        </w:rPr>
        <w:t xml:space="preserve">The wireless trend API already returns client_count per hour, but the trend chart only plots score and AP-online % -- client growth is fetched and thrown away. Recommend charting client-count trend (and, once available, per-AP average load) so capacity planning questions (“are we approaching AP capacity at this site”) have a visual answer instead of requiring a database query.</w:t>
      </w:r>
    </w:p>
    <w:p>
      <w:pPr>
        <w:pStyle w:val="Heading2"/>
        <w:spacing w:after="120" w:before="280"/>
      </w:pPr>
      <w:r>
        <w:t xml:space="preserve">3.4 Data freshness and trust indicators</w:t>
      </w:r>
    </w:p>
    <w:p>
      <w:pPr>
        <w:spacing w:after="160" w:line="276"/>
      </w:pPr>
      <w:r>
        <w:rPr>
          <w:color w:val="1E293B"/>
          <w:sz w:val="21"/>
          <w:szCs w:val="21"/>
        </w:rPr>
        <w:t xml:space="preserve">The HLD's own risk mitigation for this project states: “each KPI tile should show source platform and last refresh time” (data-lineage transparency, invoked specifically to keep CXO trust in the numbers). The current UI doesn't do this at the tile level -- last-ingested timestamps exist in backend state but aren't surfaced per KPI, and there's no visible staleness warning if a poll cycle silently stops succeeding. For a CXO room display in particular (the POC SOW's stated use case), a viewer has no way to tell “data is 3 minutes old” from “data is 3 hours old and the ingest pipeline is broken.” Recommend a persistent “as of HH:MM, source: Aruba Central / SolarWinds” stamp, with a visible amber/red state if the last successful ingest exceeds N missed cycles.</w:t>
      </w:r>
    </w:p>
    <w:p>
      <w:pPr>
        <w:pStyle w:val="Heading2"/>
        <w:spacing w:after="120" w:before="280"/>
      </w:pPr>
      <w:r>
        <w:t xml:space="preserve">3.5 Cross-pillar / overall GBS composite score</w:t>
      </w:r>
    </w:p>
    <w:p>
      <w:pPr>
        <w:spacing w:after="160" w:line="276"/>
      </w:pPr>
      <w:r>
        <w:rPr>
          <w:color w:val="1E293B"/>
          <w:sz w:val="21"/>
          <w:szCs w:val="21"/>
        </w:rPr>
        <w:t xml:space="preserve">The POC Closure Report's roadmap (item 4) explicitly calls for “Overall GBS composite score with country/site selector” -- not yet built. Right now each pillar's health stands alone in its own accordion row; there's no single number or view answering “how healthy is GBS as a whole, in this country, right now.” This also ties into the HLD's asset-correlation risk (target: 70% auto-correlation) -- without site/asset correlation across pillars, a composite score can't yet distinguish “two unrelated minor issues” from “one site having a bad day across both wireless and LAN,” which is exactly the kind of signal a CXO view should surface.</w:t>
      </w:r>
    </w:p>
    <w:p>
      <w:pPr>
        <w:pStyle w:val="Heading2"/>
        <w:spacing w:after="120" w:before="280"/>
      </w:pPr>
      <w:r>
        <w:t xml:space="preserve">3.6 Role-appropriate views (CXO vs Ops)</w:t>
      </w:r>
    </w:p>
    <w:p>
      <w:pPr>
        <w:spacing w:after="160" w:line="276"/>
      </w:pPr>
      <w:r>
        <w:rPr>
          <w:color w:val="1E293B"/>
          <w:sz w:val="21"/>
          <w:szCs w:val="21"/>
        </w:rPr>
        <w:t xml:space="preserve">HLD decision D.9 (API Gateway &amp; Authentication Layer Selection) explicitly lists “whether role-based access control (CXO view vs Ops view) is enforced” as an open decision -- still unresolved, and there is currently no authentication of any kind on the API. Beyond the security implications (Part 4), this is also a parameter-design question: a CXO view wants the aggregate/trend/SLA framing above; an Ops/NOC view wants the drill-down detail this POC already has (per-node, per-interface where available) plus actionable alert workflow. Building both into one undifferentiated table, as today, under-serves both audiences.</w:t>
      </w:r>
    </w:p>
    <w:p>
      <w:pPr>
        <w:pStyle w:val="Heading2"/>
        <w:spacing w:after="120" w:before="280"/>
      </w:pPr>
      <w:r>
        <w:t xml:space="preserve">3.7 Drill-down depth</w:t>
      </w:r>
    </w:p>
    <w:p>
      <w:pPr>
        <w:spacing w:after="160" w:line="276"/>
      </w:pPr>
      <w:r>
        <w:rPr>
          <w:color w:val="1E293B"/>
          <w:sz w:val="21"/>
          <w:szCs w:val="21"/>
        </w:rPr>
        <w:t xml:space="preserve">Wireless: the Aruba API already returns AP-level status, but the dashboard only ever aggregates to site level -- there's no way to see which specific AP is offline without going to the Aruba Central console directly. LAN: interface-level utilisation is aggregated away by the SWQL query itself (see 1.2), so even adding UI wouldn't recover it without a query change. Recommend an AP-level expand-in-place on the site table (data is already fetched, just not retained per-record) as a near-term win, and treat interface-level detail as a query-plus-schema change for later.</w:t>
      </w:r>
    </w:p>
    <w:p>
      <w:pPr>
        <w:pStyle w:val="Heading2"/>
        <w:spacing w:after="120" w:before="280"/>
      </w:pPr>
      <w:r>
        <w:t xml:space="preserve">3.8 Notification / ticketing integration</w:t>
      </w:r>
    </w:p>
    <w:p>
      <w:pPr>
        <w:spacing w:after="160" w:line="276"/>
      </w:pPr>
      <w:r>
        <w:rPr>
          <w:color w:val="1E293B"/>
          <w:sz w:val="21"/>
          <w:szCs w:val="21"/>
        </w:rPr>
        <w:t xml:space="preserve">HLD decision D.10 (Alerting &amp; Notification Strategy) is still open: whether consolidated alerts should create ServiceNow/ManageEngine tickets automatically, and how they route to email/Teams. The dashboard today is read-only with no escalation path -- an Ops user sees a critical alert but has to act outside the tool. Recommend resolving D.10 before production and, at minimum, surfacing an “acknowledge” action in the UI (the data model already supports it for LAN alerts).</w:t>
      </w:r>
    </w:p>
    <w:p>
      <w:pPr>
        <w:pStyle w:val="Heading2"/>
        <w:spacing w:after="120" w:before="280"/>
      </w:pPr>
      <w:r>
        <w:t xml:space="preserve">3.9 Admin-configurable thresholds</w:t>
      </w:r>
    </w:p>
    <w:p>
      <w:pPr>
        <w:spacing w:after="160" w:line="276"/>
      </w:pPr>
      <w:r>
        <w:rPr>
          <w:color w:val="1E293B"/>
          <w:sz w:val="21"/>
          <w:szCs w:val="21"/>
        </w:rPr>
        <w:t xml:space="preserve">Green/amber/red thresholds live in dashboard_config and are already designed to be runtime-configurable, but there's no admin UI for it today -- changing a threshold means a direct SQL update. Recommend a lightweight admin screen (behind whatever RBAC gets built for D.9) so IT Ops can tune thresholds without database access.</w:t>
      </w:r>
    </w:p>
    <w:p>
      <w:pPr>
        <w:pStyle w:val="Heading1"/>
        <w:spacing w:after="160" w:before="360"/>
      </w:pPr>
      <w:r>
        <w:t xml:space="preserve">Part 4 — Platform / Architecture Gaps (non-parameter)</w:t>
      </w:r>
    </w:p>
    <w:p>
      <w:pPr>
        <w:spacing w:after="160" w:line="276"/>
      </w:pPr>
      <w:r>
        <w:rPr>
          <w:color w:val="1E293B"/>
          <w:sz w:val="21"/>
          <w:szCs w:val="21"/>
        </w:rPr>
        <w:t xml:space="preserve">These sit alongside the visual/parameter gaps above and are prerequisites for a production rollout regardless of what the dashboard shows.</w:t>
      </w:r>
    </w:p>
    <w:tbl>
      <w:tblPr>
        <w:tblW w:type="dxa" w:w="1010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3600"/>
        <w:gridCol w:w="4300"/>
      </w:tblGrid>
      <w:tr>
        <w:trPr>
          <w:tblHeader/>
        </w:trPr>
        <w:tc>
          <w:tcPr>
            <w:tcW w:type="dxa" w:w="2200"/>
            <w:shd w:fill="1E3A5F" w:val="clear"/>
            <w:tcMar>
              <w:top w:type="dxa" w:w="80"/>
              <w:left w:type="dxa" w:w="110"/>
              <w:bottom w:type="dxa" w:w="80"/>
              <w:right w:type="dxa" w:w="110"/>
            </w:tcMar>
          </w:tcPr>
          <w:p>
            <w:pPr>
              <w:jc w:val="left"/>
            </w:pPr>
            <w:r>
              <w:rPr>
                <w:b/>
                <w:bCs/>
                <w:color w:val="FFFFFF"/>
                <w:sz w:val="19"/>
                <w:szCs w:val="19"/>
              </w:rPr>
              <w:t xml:space="preserve">Area</w:t>
            </w:r>
          </w:p>
        </w:tc>
        <w:tc>
          <w:tcPr>
            <w:tcW w:type="dxa" w:w="3600"/>
            <w:shd w:fill="1E3A5F" w:val="clear"/>
            <w:tcMar>
              <w:top w:type="dxa" w:w="80"/>
              <w:left w:type="dxa" w:w="110"/>
              <w:bottom w:type="dxa" w:w="80"/>
              <w:right w:type="dxa" w:w="110"/>
            </w:tcMar>
          </w:tcPr>
          <w:p>
            <w:pPr>
              <w:jc w:val="left"/>
            </w:pPr>
            <w:r>
              <w:rPr>
                <w:b/>
                <w:bCs/>
                <w:color w:val="FFFFFF"/>
                <w:sz w:val="19"/>
                <w:szCs w:val="19"/>
              </w:rPr>
              <w:t xml:space="preserve">Current state</w:t>
            </w:r>
          </w:p>
        </w:tc>
        <w:tc>
          <w:tcPr>
            <w:tcW w:type="dxa" w:w="4300"/>
            <w:shd w:fill="1E3A5F" w:val="clear"/>
            <w:tcMar>
              <w:top w:type="dxa" w:w="80"/>
              <w:left w:type="dxa" w:w="110"/>
              <w:bottom w:type="dxa" w:w="80"/>
              <w:right w:type="dxa" w:w="110"/>
            </w:tcMar>
          </w:tcPr>
          <w:p>
            <w:pPr>
              <w:jc w:val="left"/>
            </w:pPr>
            <w:r>
              <w:rPr>
                <w:b/>
                <w:bCs/>
                <w:color w:val="FFFFFF"/>
                <w:sz w:val="19"/>
                <w:szCs w:val="19"/>
              </w:rPr>
              <w:t xml:space="preserve">Why it matters</w:t>
            </w:r>
          </w:p>
        </w:tc>
      </w:tr>
      <w:tr>
        <w:tc>
          <w:tcPr>
            <w:tcW w:type="dxa" w:w="2200"/>
            <w:tcMar>
              <w:top w:type="dxa" w:w="80"/>
              <w:left w:type="dxa" w:w="110"/>
              <w:bottom w:type="dxa" w:w="80"/>
              <w:right w:type="dxa" w:w="110"/>
            </w:tcMar>
          </w:tcPr>
          <w:p>
            <w:pPr>
              <w:jc w:val="left"/>
            </w:pPr>
            <w:r>
              <w:rPr>
                <w:b w:val="false"/>
                <w:bCs w:val="false"/>
                <w:color w:val="1E293B"/>
                <w:sz w:val="19"/>
                <w:szCs w:val="19"/>
              </w:rPr>
              <w:t xml:space="preserve">Authentication / RBAC</w:t>
            </w:r>
          </w:p>
        </w:tc>
        <w:tc>
          <w:tcPr>
            <w:tcW w:type="dxa" w:w="3600"/>
            <w:tcMar>
              <w:top w:type="dxa" w:w="80"/>
              <w:left w:type="dxa" w:w="110"/>
              <w:bottom w:type="dxa" w:w="80"/>
              <w:right w:type="dxa" w:w="110"/>
            </w:tcMar>
          </w:tcPr>
          <w:p>
            <w:pPr>
              <w:jc w:val="left"/>
            </w:pPr>
            <w:r>
              <w:rPr>
                <w:b w:val="false"/>
                <w:bCs w:val="false"/>
                <w:color w:val="1E293B"/>
                <w:sz w:val="19"/>
                <w:szCs w:val="19"/>
              </w:rPr>
              <w:t xml:space="preserve">None. Every API route is unauthenticated; anyone with network access to the backend sees everything.</w:t>
            </w:r>
          </w:p>
        </w:tc>
        <w:tc>
          <w:tcPr>
            <w:tcW w:type="dxa" w:w="4300"/>
            <w:tcMar>
              <w:top w:type="dxa" w:w="80"/>
              <w:left w:type="dxa" w:w="110"/>
              <w:bottom w:type="dxa" w:w="80"/>
              <w:right w:type="dxa" w:w="110"/>
            </w:tcMar>
          </w:tcPr>
          <w:p>
            <w:pPr>
              <w:jc w:val="left"/>
            </w:pPr>
            <w:r>
              <w:rPr>
                <w:b w:val="false"/>
                <w:bCs w:val="false"/>
                <w:color w:val="1E293B"/>
                <w:sz w:val="19"/>
                <w:szCs w:val="19"/>
              </w:rPr>
              <w:t xml:space="preserve">HLD D.9 flags this as an open decision that must land before production. No CXO-facing production dashboard should ship without at least basic auth.</w:t>
            </w:r>
          </w:p>
        </w:tc>
      </w:tr>
      <w:tr>
        <w:tc>
          <w:tcPr>
            <w:tcW w:type="dxa" w:w="2200"/>
            <w:shd w:fill="F1F5F9" w:val="clear"/>
            <w:tcMar>
              <w:top w:type="dxa" w:w="80"/>
              <w:left w:type="dxa" w:w="110"/>
              <w:bottom w:type="dxa" w:w="80"/>
              <w:right w:type="dxa" w:w="110"/>
            </w:tcMar>
          </w:tcPr>
          <w:p>
            <w:pPr>
              <w:jc w:val="left"/>
            </w:pPr>
            <w:r>
              <w:rPr>
                <w:b w:val="false"/>
                <w:bCs w:val="false"/>
                <w:color w:val="1E293B"/>
                <w:sz w:val="19"/>
                <w:szCs w:val="19"/>
              </w:rPr>
              <w:t xml:space="preserve">Secrets management</w:t>
            </w:r>
          </w:p>
        </w:tc>
        <w:tc>
          <w:tcPr>
            <w:tcW w:type="dxa" w:w="3600"/>
            <w:shd w:fill="F1F5F9" w:val="clear"/>
            <w:tcMar>
              <w:top w:type="dxa" w:w="80"/>
              <w:left w:type="dxa" w:w="110"/>
              <w:bottom w:type="dxa" w:w="80"/>
              <w:right w:type="dxa" w:w="110"/>
            </w:tcMar>
          </w:tcPr>
          <w:p>
            <w:pPr>
              <w:jc w:val="left"/>
            </w:pPr>
            <w:r>
              <w:rPr>
                <w:b w:val="false"/>
                <w:bCs w:val="false"/>
                <w:color w:val="1E293B"/>
                <w:sz w:val="19"/>
                <w:szCs w:val="19"/>
              </w:rPr>
              <w:t xml:space="preserve">Aruba refresh token and SolarWinds password both live in plaintext .env files.</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Directly contradicts the HLD's own Secret Management design (Vault / Key Vault, credentials never in config files).</w:t>
            </w:r>
          </w:p>
        </w:tc>
      </w:tr>
      <w:tr>
        <w:tc>
          <w:tcPr>
            <w:tcW w:type="dxa" w:w="2200"/>
            <w:tcMar>
              <w:top w:type="dxa" w:w="80"/>
              <w:left w:type="dxa" w:w="110"/>
              <w:bottom w:type="dxa" w:w="80"/>
              <w:right w:type="dxa" w:w="110"/>
            </w:tcMar>
          </w:tcPr>
          <w:p>
            <w:pPr>
              <w:jc w:val="left"/>
            </w:pPr>
            <w:r>
              <w:rPr>
                <w:b w:val="false"/>
                <w:bCs w:val="false"/>
                <w:color w:val="1E293B"/>
                <w:sz w:val="19"/>
                <w:szCs w:val="19"/>
              </w:rPr>
              <w:t xml:space="preserve">CORS</w:t>
            </w:r>
          </w:p>
        </w:tc>
        <w:tc>
          <w:tcPr>
            <w:tcW w:type="dxa" w:w="3600"/>
            <w:tcMar>
              <w:top w:type="dxa" w:w="80"/>
              <w:left w:type="dxa" w:w="110"/>
              <w:bottom w:type="dxa" w:w="80"/>
              <w:right w:type="dxa" w:w="110"/>
            </w:tcMar>
          </w:tcPr>
          <w:p>
            <w:pPr>
              <w:jc w:val="left"/>
            </w:pPr>
            <w:r>
              <w:rPr>
                <w:b w:val="false"/>
                <w:bCs w:val="false"/>
                <w:color w:val="1E293B"/>
                <w:sz w:val="19"/>
                <w:szCs w:val="19"/>
              </w:rPr>
              <w:t xml:space="preserve">allow_origins=["*"] -- already flagged in-code as POC-only.</w:t>
            </w:r>
          </w:p>
        </w:tc>
        <w:tc>
          <w:tcPr>
            <w:tcW w:type="dxa" w:w="4300"/>
            <w:tcMar>
              <w:top w:type="dxa" w:w="80"/>
              <w:left w:type="dxa" w:w="110"/>
              <w:bottom w:type="dxa" w:w="80"/>
              <w:right w:type="dxa" w:w="110"/>
            </w:tcMar>
          </w:tcPr>
          <w:p>
            <w:pPr>
              <w:jc w:val="left"/>
            </w:pPr>
            <w:r>
              <w:rPr>
                <w:b w:val="false"/>
                <w:bCs w:val="false"/>
                <w:color w:val="1E293B"/>
                <w:sz w:val="19"/>
                <w:szCs w:val="19"/>
              </w:rPr>
              <w:t xml:space="preserve">Needs restricting to the actual frontend origin before production.</w:t>
            </w:r>
          </w:p>
        </w:tc>
      </w:tr>
      <w:tr>
        <w:tc>
          <w:tcPr>
            <w:tcW w:type="dxa" w:w="2200"/>
            <w:shd w:fill="F1F5F9" w:val="clear"/>
            <w:tcMar>
              <w:top w:type="dxa" w:w="80"/>
              <w:left w:type="dxa" w:w="110"/>
              <w:bottom w:type="dxa" w:w="80"/>
              <w:right w:type="dxa" w:w="110"/>
            </w:tcMar>
          </w:tcPr>
          <w:p>
            <w:pPr>
              <w:jc w:val="left"/>
            </w:pPr>
            <w:r>
              <w:rPr>
                <w:b w:val="false"/>
                <w:bCs w:val="false"/>
                <w:color w:val="1E293B"/>
                <w:sz w:val="19"/>
                <w:szCs w:val="19"/>
              </w:rPr>
              <w:t xml:space="preserve">Rate limiting</w:t>
            </w:r>
          </w:p>
        </w:tc>
        <w:tc>
          <w:tcPr>
            <w:tcW w:type="dxa" w:w="3600"/>
            <w:shd w:fill="F1F5F9" w:val="clear"/>
            <w:tcMar>
              <w:top w:type="dxa" w:w="80"/>
              <w:left w:type="dxa" w:w="110"/>
              <w:bottom w:type="dxa" w:w="80"/>
              <w:right w:type="dxa" w:w="110"/>
            </w:tcMar>
          </w:tcPr>
          <w:p>
            <w:pPr>
              <w:jc w:val="left"/>
            </w:pPr>
            <w:r>
              <w:rPr>
                <w:b w:val="false"/>
                <w:bCs w:val="false"/>
                <w:color w:val="1E293B"/>
                <w:sz w:val="19"/>
                <w:szCs w:val="19"/>
              </w:rPr>
              <w:t xml:space="preserve">The security module's docstring claims rate-limiting state exists; no enforcement is actually wired into any route.</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Either implement it or correct the documentation -- as written it overstates what's protecting the API.</w:t>
            </w:r>
          </w:p>
        </w:tc>
      </w:tr>
      <w:tr>
        <w:tc>
          <w:tcPr>
            <w:tcW w:type="dxa" w:w="2200"/>
            <w:tcMar>
              <w:top w:type="dxa" w:w="80"/>
              <w:left w:type="dxa" w:w="110"/>
              <w:bottom w:type="dxa" w:w="80"/>
              <w:right w:type="dxa" w:w="110"/>
            </w:tcMar>
          </w:tcPr>
          <w:p>
            <w:pPr>
              <w:jc w:val="left"/>
            </w:pPr>
            <w:r>
              <w:rPr>
                <w:b w:val="false"/>
                <w:bCs w:val="false"/>
                <w:color w:val="1E293B"/>
                <w:sz w:val="19"/>
                <w:szCs w:val="19"/>
              </w:rPr>
              <w:t xml:space="preserve">High availability / DR</w:t>
            </w:r>
          </w:p>
        </w:tc>
        <w:tc>
          <w:tcPr>
            <w:tcW w:type="dxa" w:w="3600"/>
            <w:tcMar>
              <w:top w:type="dxa" w:w="80"/>
              <w:left w:type="dxa" w:w="110"/>
              <w:bottom w:type="dxa" w:w="80"/>
              <w:right w:type="dxa" w:w="110"/>
            </w:tcMar>
          </w:tcPr>
          <w:p>
            <w:pPr>
              <w:jc w:val="left"/>
            </w:pPr>
            <w:r>
              <w:rPr>
                <w:b w:val="false"/>
                <w:bCs w:val="false"/>
                <w:color w:val="1E293B"/>
                <w:sz w:val="19"/>
                <w:szCs w:val="19"/>
              </w:rPr>
              <w:t xml:space="preserve">Single Postgres/TimescaleDB instance, single backend process, in-memory pillar state that resets on every restart until the next poll cycle.</w:t>
            </w:r>
          </w:p>
        </w:tc>
        <w:tc>
          <w:tcPr>
            <w:tcW w:type="dxa" w:w="4300"/>
            <w:tcMar>
              <w:top w:type="dxa" w:w="80"/>
              <w:left w:type="dxa" w:w="110"/>
              <w:bottom w:type="dxa" w:w="80"/>
              <w:right w:type="dxa" w:w="110"/>
            </w:tcMar>
          </w:tcPr>
          <w:p>
            <w:pPr>
              <w:jc w:val="left"/>
            </w:pPr>
            <w:r>
              <w:rPr>
                <w:b w:val="false"/>
                <w:bCs w:val="false"/>
                <w:color w:val="1E293B"/>
                <w:sz w:val="19"/>
                <w:szCs w:val="19"/>
              </w:rPr>
              <w:t xml:space="preserve">HLD D.13 explicitly flags HA/DR for the integration layer as unresolved. A restart during a deploy currently means a visible gap in dashboard data.</w:t>
            </w:r>
          </w:p>
        </w:tc>
      </w:tr>
      <w:tr>
        <w:tc>
          <w:tcPr>
            <w:tcW w:type="dxa" w:w="2200"/>
            <w:shd w:fill="F1F5F9" w:val="clear"/>
            <w:tcMar>
              <w:top w:type="dxa" w:w="80"/>
              <w:left w:type="dxa" w:w="110"/>
              <w:bottom w:type="dxa" w:w="80"/>
              <w:right w:type="dxa" w:w="110"/>
            </w:tcMar>
          </w:tcPr>
          <w:p>
            <w:pPr>
              <w:jc w:val="left"/>
            </w:pPr>
            <w:r>
              <w:rPr>
                <w:b w:val="false"/>
                <w:bCs w:val="false"/>
                <w:color w:val="1E293B"/>
                <w:sz w:val="19"/>
                <w:szCs w:val="19"/>
              </w:rPr>
              <w:t xml:space="preserve">Observability of the pipeline itself</w:t>
            </w:r>
          </w:p>
        </w:tc>
        <w:tc>
          <w:tcPr>
            <w:tcW w:type="dxa" w:w="3600"/>
            <w:shd w:fill="F1F5F9" w:val="clear"/>
            <w:tcMar>
              <w:top w:type="dxa" w:w="80"/>
              <w:left w:type="dxa" w:w="110"/>
              <w:bottom w:type="dxa" w:w="80"/>
              <w:right w:type="dxa" w:w="110"/>
            </w:tcMar>
          </w:tcPr>
          <w:p>
            <w:pPr>
              <w:jc w:val="left"/>
            </w:pPr>
            <w:r>
              <w:rPr>
                <w:b w:val="false"/>
                <w:bCs w:val="false"/>
                <w:color w:val="1E293B"/>
                <w:sz w:val="19"/>
                <w:szCs w:val="19"/>
              </w:rPr>
              <w:t xml:space="preserve">Console/file logging only; no metrics on ingest success rate, OAuth token health, or SWIS connection health over time.</w:t>
            </w:r>
          </w:p>
        </w:tc>
        <w:tc>
          <w:tcPr>
            <w:tcW w:type="dxa" w:w="4300"/>
            <w:shd w:fill="F1F5F9" w:val="clear"/>
            <w:tcMar>
              <w:top w:type="dxa" w:w="80"/>
              <w:left w:type="dxa" w:w="110"/>
              <w:bottom w:type="dxa" w:w="80"/>
              <w:right w:type="dxa" w:w="110"/>
            </w:tcMar>
          </w:tcPr>
          <w:p>
            <w:pPr>
              <w:jc w:val="left"/>
            </w:pPr>
            <w:r>
              <w:rPr>
                <w:b w:val="false"/>
                <w:bCs w:val="false"/>
                <w:color w:val="1E293B"/>
                <w:sz w:val="19"/>
                <w:szCs w:val="19"/>
              </w:rPr>
              <w:t xml:space="preserve">For a system other people depend on for decisions, the ops team needs to know the pipeline is healthy independent of the dashboard it feeds.</w:t>
            </w:r>
          </w:p>
        </w:tc>
      </w:tr>
      <w:tr>
        <w:tc>
          <w:tcPr>
            <w:tcW w:type="dxa" w:w="2200"/>
            <w:tcMar>
              <w:top w:type="dxa" w:w="80"/>
              <w:left w:type="dxa" w:w="110"/>
              <w:bottom w:type="dxa" w:w="80"/>
              <w:right w:type="dxa" w:w="110"/>
            </w:tcMar>
          </w:tcPr>
          <w:p>
            <w:pPr>
              <w:jc w:val="left"/>
            </w:pPr>
            <w:r>
              <w:rPr>
                <w:b w:val="false"/>
                <w:bCs w:val="false"/>
                <w:color w:val="1E293B"/>
                <w:sz w:val="19"/>
                <w:szCs w:val="19"/>
              </w:rPr>
              <w:t xml:space="preserve">Stale duplicate code</w:t>
            </w:r>
          </w:p>
        </w:tc>
        <w:tc>
          <w:tcPr>
            <w:tcW w:type="dxa" w:w="3600"/>
            <w:tcMar>
              <w:top w:type="dxa" w:w="80"/>
              <w:left w:type="dxa" w:w="110"/>
              <w:bottom w:type="dxa" w:w="80"/>
              <w:right w:type="dxa" w:w="110"/>
            </w:tcMar>
          </w:tcPr>
          <w:p>
            <w:pPr>
              <w:jc w:val="left"/>
            </w:pPr>
            <w:r>
              <w:rPr>
                <w:b w:val="false"/>
                <w:bCs w:val="false"/>
                <w:color w:val="1E293B"/>
                <w:sz w:val="19"/>
                <w:szCs w:val="19"/>
              </w:rPr>
              <w:t xml:space="preserve">backend/app/lan.py is an older, near-duplicate of app/api/lan.py (missing the security.sanitise_scope_part validation used in the live version) and isn't imported anywhere.</w:t>
            </w:r>
          </w:p>
        </w:tc>
        <w:tc>
          <w:tcPr>
            <w:tcW w:type="dxa" w:w="4300"/>
            <w:tcMar>
              <w:top w:type="dxa" w:w="80"/>
              <w:left w:type="dxa" w:w="110"/>
              <w:bottom w:type="dxa" w:w="80"/>
              <w:right w:type="dxa" w:w="110"/>
            </w:tcMar>
          </w:tcPr>
          <w:p>
            <w:pPr>
              <w:jc w:val="left"/>
            </w:pPr>
            <w:r>
              <w:rPr>
                <w:b w:val="false"/>
                <w:bCs w:val="false"/>
                <w:color w:val="1E293B"/>
                <w:sz w:val="19"/>
                <w:szCs w:val="19"/>
              </w:rPr>
              <w:t xml:space="preserve">Dead file, but a real risk if someone edits the wrong copy later, or if it's ever accidentally wired in without the newer input validation.</w:t>
            </w:r>
          </w:p>
        </w:tc>
      </w:tr>
    </w:tbl>
    <w:p>
      <w:pPr>
        <w:pStyle w:val="Heading1"/>
        <w:spacing w:after="160" w:before="360"/>
      </w:pPr>
      <w:r>
        <w:t xml:space="preserve">Part 5 — Roadmap Alignment</w:t>
      </w:r>
    </w:p>
    <w:p>
      <w:pPr>
        <w:spacing w:after="160" w:line="276"/>
      </w:pPr>
      <w:r>
        <w:rPr>
          <w:color w:val="1E293B"/>
          <w:sz w:val="21"/>
          <w:szCs w:val="21"/>
        </w:rPr>
        <w:t xml:space="preserve">Mapping the above against the five-phase roadmap already agreed in the POC Closure Report:</w:t>
      </w:r>
    </w:p>
    <w:tbl>
      <w:tblPr>
        <w:tblW w:type="dxa" w:w="10100"/>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6700"/>
      </w:tblGrid>
      <w:tr>
        <w:trPr>
          <w:tblHeader/>
        </w:trPr>
        <w:tc>
          <w:tcPr>
            <w:tcW w:type="dxa" w:w="3400"/>
            <w:shd w:fill="1E3A5F" w:val="clear"/>
            <w:tcMar>
              <w:top w:type="dxa" w:w="80"/>
              <w:left w:type="dxa" w:w="110"/>
              <w:bottom w:type="dxa" w:w="80"/>
              <w:right w:type="dxa" w:w="110"/>
            </w:tcMar>
          </w:tcPr>
          <w:p>
            <w:pPr>
              <w:jc w:val="left"/>
            </w:pPr>
            <w:r>
              <w:rPr>
                <w:b/>
                <w:bCs/>
                <w:color w:val="FFFFFF"/>
                <w:sz w:val="19"/>
                <w:szCs w:val="19"/>
              </w:rPr>
              <w:t xml:space="preserve">Roadmap phase</w:t>
            </w:r>
          </w:p>
        </w:tc>
        <w:tc>
          <w:tcPr>
            <w:tcW w:type="dxa" w:w="6700"/>
            <w:shd w:fill="1E3A5F" w:val="clear"/>
            <w:tcMar>
              <w:top w:type="dxa" w:w="80"/>
              <w:left w:type="dxa" w:w="110"/>
              <w:bottom w:type="dxa" w:w="80"/>
              <w:right w:type="dxa" w:w="110"/>
            </w:tcMar>
          </w:tcPr>
          <w:p>
            <w:pPr>
              <w:jc w:val="left"/>
            </w:pPr>
            <w:r>
              <w:rPr>
                <w:b/>
                <w:bCs/>
                <w:color w:val="FFFFFF"/>
                <w:sz w:val="19"/>
                <w:szCs w:val="19"/>
              </w:rPr>
              <w:t xml:space="preserve">Status</w:t>
            </w:r>
          </w:p>
        </w:tc>
      </w:tr>
      <w:tr>
        <w:tc>
          <w:tcPr>
            <w:tcW w:type="dxa" w:w="3400"/>
            <w:tcMar>
              <w:top w:type="dxa" w:w="80"/>
              <w:left w:type="dxa" w:w="110"/>
              <w:bottom w:type="dxa" w:w="80"/>
              <w:right w:type="dxa" w:w="110"/>
            </w:tcMar>
          </w:tcPr>
          <w:p>
            <w:pPr>
              <w:jc w:val="left"/>
            </w:pPr>
            <w:r>
              <w:rPr>
                <w:b w:val="false"/>
                <w:bCs w:val="false"/>
                <w:color w:val="1E293B"/>
                <w:sz w:val="19"/>
                <w:szCs w:val="19"/>
              </w:rPr>
              <w:t xml:space="preserve">1. Aruba Central Live API</w:t>
            </w:r>
          </w:p>
        </w:tc>
        <w:tc>
          <w:tcPr>
            <w:tcW w:type="dxa" w:w="6700"/>
            <w:tcMar>
              <w:top w:type="dxa" w:w="80"/>
              <w:left w:type="dxa" w:w="110"/>
              <w:bottom w:type="dxa" w:w="80"/>
              <w:right w:type="dxa" w:w="110"/>
            </w:tcMar>
          </w:tcPr>
          <w:p>
            <w:pPr>
              <w:jc w:val="left"/>
            </w:pPr>
            <w:r>
              <w:rPr>
                <w:b w:val="false"/>
                <w:bCs w:val="false"/>
                <w:color w:val="1E293B"/>
                <w:sz w:val="19"/>
                <w:szCs w:val="19"/>
              </w:rPr>
              <w:t xml:space="preserve">Functionally working after this session's fixes (auth, clients, alerts). Site-health scoring is a known, unresolved gap against the original design.</w:t>
            </w:r>
          </w:p>
        </w:tc>
      </w:tr>
      <w:tr>
        <w:tc>
          <w:tcPr>
            <w:tcW w:type="dxa" w:w="3400"/>
            <w:shd w:fill="F1F5F9" w:val="clear"/>
            <w:tcMar>
              <w:top w:type="dxa" w:w="80"/>
              <w:left w:type="dxa" w:w="110"/>
              <w:bottom w:type="dxa" w:w="80"/>
              <w:right w:type="dxa" w:w="110"/>
            </w:tcMar>
          </w:tcPr>
          <w:p>
            <w:pPr>
              <w:jc w:val="left"/>
            </w:pPr>
            <w:r>
              <w:rPr>
                <w:b w:val="false"/>
                <w:bCs w:val="false"/>
                <w:color w:val="1E293B"/>
                <w:sz w:val="19"/>
                <w:szCs w:val="19"/>
              </w:rPr>
              <w:t xml:space="preserve">2. AVD + Application Availability</w:t>
            </w:r>
          </w:p>
        </w:tc>
        <w:tc>
          <w:tcPr>
            <w:tcW w:type="dxa" w:w="6700"/>
            <w:shd w:fill="F1F5F9" w:val="clear"/>
            <w:tcMar>
              <w:top w:type="dxa" w:w="80"/>
              <w:left w:type="dxa" w:w="110"/>
              <w:bottom w:type="dxa" w:w="80"/>
              <w:right w:type="dxa" w:w="110"/>
            </w:tcMar>
          </w:tcPr>
          <w:p>
            <w:pPr>
              <w:jc w:val="left"/>
            </w:pPr>
            <w:r>
              <w:rPr>
                <w:b w:val="false"/>
                <w:bCs w:val="false"/>
                <w:color w:val="1E293B"/>
                <w:sz w:val="19"/>
                <w:szCs w:val="19"/>
              </w:rPr>
              <w:t xml:space="preserve">Not started -- UI placeholder only.</w:t>
            </w:r>
          </w:p>
        </w:tc>
      </w:tr>
      <w:tr>
        <w:tc>
          <w:tcPr>
            <w:tcW w:type="dxa" w:w="3400"/>
            <w:tcMar>
              <w:top w:type="dxa" w:w="80"/>
              <w:left w:type="dxa" w:w="110"/>
              <w:bottom w:type="dxa" w:w="80"/>
              <w:right w:type="dxa" w:w="110"/>
            </w:tcMar>
          </w:tcPr>
          <w:p>
            <w:pPr>
              <w:jc w:val="left"/>
            </w:pPr>
            <w:r>
              <w:rPr>
                <w:b w:val="false"/>
                <w:bCs w:val="false"/>
                <w:color w:val="1E293B"/>
                <w:sz w:val="19"/>
                <w:szCs w:val="19"/>
              </w:rPr>
              <w:t xml:space="preserve">3. Printing Services (Zabbix)</w:t>
            </w:r>
          </w:p>
        </w:tc>
        <w:tc>
          <w:tcPr>
            <w:tcW w:type="dxa" w:w="6700"/>
            <w:tcMar>
              <w:top w:type="dxa" w:w="80"/>
              <w:left w:type="dxa" w:w="110"/>
              <w:bottom w:type="dxa" w:w="80"/>
              <w:right w:type="dxa" w:w="110"/>
            </w:tcMar>
          </w:tcPr>
          <w:p>
            <w:pPr>
              <w:jc w:val="left"/>
            </w:pPr>
            <w:r>
              <w:rPr>
                <w:b w:val="false"/>
                <w:bCs w:val="false"/>
                <w:color w:val="1E293B"/>
                <w:sz w:val="19"/>
                <w:szCs w:val="19"/>
              </w:rPr>
              <w:t xml:space="preserve">Not started -- UI placeholder only.</w:t>
            </w:r>
          </w:p>
        </w:tc>
      </w:tr>
      <w:tr>
        <w:tc>
          <w:tcPr>
            <w:tcW w:type="dxa" w:w="3400"/>
            <w:shd w:fill="F1F5F9" w:val="clear"/>
            <w:tcMar>
              <w:top w:type="dxa" w:w="80"/>
              <w:left w:type="dxa" w:w="110"/>
              <w:bottom w:type="dxa" w:w="80"/>
              <w:right w:type="dxa" w:w="110"/>
            </w:tcMar>
          </w:tcPr>
          <w:p>
            <w:pPr>
              <w:jc w:val="left"/>
            </w:pPr>
            <w:r>
              <w:rPr>
                <w:b w:val="false"/>
                <w:bCs w:val="false"/>
                <w:color w:val="1E293B"/>
                <w:sz w:val="19"/>
                <w:szCs w:val="19"/>
              </w:rPr>
              <w:t xml:space="preserve">4. Site-Level Health Model + overall GBS composite score</w:t>
            </w:r>
          </w:p>
        </w:tc>
        <w:tc>
          <w:tcPr>
            <w:tcW w:type="dxa" w:w="6700"/>
            <w:shd w:fill="F1F5F9" w:val="clear"/>
            <w:tcMar>
              <w:top w:type="dxa" w:w="80"/>
              <w:left w:type="dxa" w:w="110"/>
              <w:bottom w:type="dxa" w:w="80"/>
              <w:right w:type="dxa" w:w="110"/>
            </w:tcMar>
          </w:tcPr>
          <w:p>
            <w:pPr>
              <w:jc w:val="left"/>
            </w:pPr>
            <w:r>
              <w:rPr>
                <w:b w:val="false"/>
                <w:bCs w:val="false"/>
                <w:color w:val="1E293B"/>
                <w:sz w:val="19"/>
                <w:szCs w:val="19"/>
              </w:rPr>
              <w:t xml:space="preserve">Not started. This is where most of Part 3's cross-pillar recommendations (3.5 especially) naturally land.</w:t>
            </w:r>
          </w:p>
        </w:tc>
      </w:tr>
      <w:tr>
        <w:tc>
          <w:tcPr>
            <w:tcW w:type="dxa" w:w="3400"/>
            <w:tcMar>
              <w:top w:type="dxa" w:w="80"/>
              <w:left w:type="dxa" w:w="110"/>
              <w:bottom w:type="dxa" w:w="80"/>
              <w:right w:type="dxa" w:w="110"/>
            </w:tcMar>
          </w:tcPr>
          <w:p>
            <w:pPr>
              <w:jc w:val="left"/>
            </w:pPr>
            <w:r>
              <w:rPr>
                <w:b w:val="false"/>
                <w:bCs w:val="false"/>
                <w:color w:val="1E293B"/>
                <w:sz w:val="19"/>
                <w:szCs w:val="19"/>
              </w:rPr>
              <w:t xml:space="preserve">5. Production Dashboard (auth, RBAC, PDF reporting, HA)</w:t>
            </w:r>
          </w:p>
        </w:tc>
        <w:tc>
          <w:tcPr>
            <w:tcW w:type="dxa" w:w="6700"/>
            <w:tcMar>
              <w:top w:type="dxa" w:w="80"/>
              <w:left w:type="dxa" w:w="110"/>
              <w:bottom w:type="dxa" w:w="80"/>
              <w:right w:type="dxa" w:w="110"/>
            </w:tcMar>
          </w:tcPr>
          <w:p>
            <w:pPr>
              <w:jc w:val="left"/>
            </w:pPr>
            <w:r>
              <w:rPr>
                <w:b w:val="false"/>
                <w:bCs w:val="false"/>
                <w:color w:val="1E293B"/>
                <w:sz w:val="19"/>
                <w:szCs w:val="19"/>
              </w:rPr>
              <w:t xml:space="preserve">Not started. This is where Part 4's gaps and Part 3's SLA/MTTR/admin-threshold recommendations naturally land.</w:t>
            </w:r>
          </w:p>
        </w:tc>
      </w:tr>
    </w:tbl>
    <w:p>
      <w:pPr>
        <w:spacing w:after="160" w:line="276"/>
      </w:pPr>
      <w:r>
        <w:rPr>
          <w:color w:val="1E293B"/>
          <w:sz w:val="21"/>
          <w:szCs w:val="21"/>
        </w:rPr>
        <w:t xml:space="preserve"> </w:t>
      </w:r>
    </w:p>
    <w:p>
      <w:pPr>
        <w:pStyle w:val="Heading2"/>
        <w:spacing w:after="120" w:before="280"/>
      </w:pPr>
      <w:r>
        <w:t xml:space="preserve">Suggested near-term priority</w:t>
      </w:r>
    </w:p>
    <w:p>
      <w:pPr>
        <w:pStyle w:val="ListParagraph"/>
        <w:numPr>
          <w:ilvl w:val="0"/>
          <w:numId w:val="2"/>
        </w:numPr>
        <w:spacing w:after="80" w:line="264"/>
      </w:pPr>
      <w:r>
        <w:rPr>
          <w:color w:val="1E293B"/>
          <w:sz w:val="21"/>
          <w:szCs w:val="21"/>
        </w:rPr>
        <w:t xml:space="preserve">Decide D.9 (auth/RBAC) and D.10 (alerting/ticketing) -- both are blocking decisions called out in the HLD and touch almost everything in Part 3.</w:t>
      </w:r>
    </w:p>
    <w:p>
      <w:pPr>
        <w:pStyle w:val="ListParagraph"/>
        <w:numPr>
          <w:ilvl w:val="0"/>
          <w:numId w:val="2"/>
        </w:numPr>
        <w:spacing w:after="80" w:line="264"/>
      </w:pPr>
      <w:r>
        <w:rPr>
          <w:color w:val="1E293B"/>
          <w:sz w:val="21"/>
          <w:szCs w:val="21"/>
        </w:rPr>
        <w:t xml:space="preserve">Move Aruba refresh token and SolarWinds password into proper secret storage before any production credential is issued for either integration.</w:t>
      </w:r>
    </w:p>
    <w:p>
      <w:pPr>
        <w:pStyle w:val="ListParagraph"/>
        <w:numPr>
          <w:ilvl w:val="0"/>
          <w:numId w:val="2"/>
        </w:numPr>
        <w:spacing w:after="80" w:line="264"/>
      </w:pPr>
      <w:r>
        <w:rPr>
          <w:color w:val="1E293B"/>
          <w:sz w:val="21"/>
          <w:szCs w:val="21"/>
        </w:rPr>
        <w:t xml:space="preserve">Add data-freshness stamps and alert aging/acknowledgement to the existing two pillars -- highest decision-making value for the lowest engineering cost, since the underlying data already exists.</w:t>
      </w:r>
    </w:p>
    <w:p>
      <w:pPr>
        <w:pStyle w:val="ListParagraph"/>
        <w:numPr>
          <w:ilvl w:val="0"/>
          <w:numId w:val="2"/>
        </w:numPr>
        <w:spacing w:after="80" w:line="264"/>
      </w:pPr>
      <w:r>
        <w:rPr>
          <w:color w:val="1E293B"/>
          <w:sz w:val="21"/>
          <w:szCs w:val="21"/>
        </w:rPr>
        <w:t xml:space="preserve">Chart the client-count trend that's already being fetched and discarded -- a one-line win.</w:t>
      </w:r>
    </w:p>
    <w:p>
      <w:pPr>
        <w:pStyle w:val="ListParagraph"/>
        <w:numPr>
          <w:ilvl w:val="0"/>
          <w:numId w:val="2"/>
        </w:numPr>
        <w:spacing w:after="80" w:line="264"/>
      </w:pPr>
      <w:r>
        <w:rPr>
          <w:color w:val="1E293B"/>
          <w:sz w:val="21"/>
          <w:szCs w:val="21"/>
        </w:rPr>
        <w:t xml:space="preserve">Scope Phase 4 (site-level health model / composite score) before adding Phase 2/3 pillars, so AVD and Printing land into a dashboard structure that already knows how to correlate across pillars, rather than bolting three more siloed tiles onto the current accordion.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GBS Service Health Dashboard --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2026-08-19T06:19:19.454Z</dcterms:created>
  <dcterms:modified xsi:type="dcterms:W3CDTF">2026-08-19T06:19:19.478Z</dcterms:modified>
</cp:coreProperties>
</file>

<file path=docProps/custom.xml><?xml version="1.0" encoding="utf-8"?>
<Properties xmlns="http://schemas.openxmlformats.org/officeDocument/2006/custom-properties" xmlns:vt="http://schemas.openxmlformats.org/officeDocument/2006/docPropsVTypes"/>
</file>