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empresa eligió el método de financiamiento "emprendedores innovadores" por varias razones: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fondo está dirigido a la puesta en marcha y despegue de una nueva empresa que desarrolle productos, procesos, servicios o sistemas de comercialización innovadores.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presenta bajo dos modalidades: Empresas jóvenes y Emprendedores innovadores.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postular, se debe contar con una institución patrocinadora (organizaciones que brindan servicios y asesoramiento a emprendedores), que acompañará la formulación, ejecución y cierre del proyecto.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Podría recibir un apoyo económico no reembolsable de hasta el 80% del costo total del proyecto, con un monto máximo de UYU 3.000.000.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Podría contar con el acompañamiento de una institución patrocinadora que le brinde servicios y asesoramiento para la formulación, ejecución y cierre del proyecto.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Nos sería de ayuda para destacar en el mercado objetivo y tener potencial de escalar globalmente.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https://www.uruguayemprendedor.uy/programa-de-apoyo/emprendedores-innovadores-anii/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IMPUESTOS: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FONASA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IRPF (si corresponde)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