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92A8A" w14:textId="014E7F20" w:rsidR="00D647F4" w:rsidRDefault="00766A30">
      <w:hyperlink r:id="rId4" w:history="1">
        <w:r>
          <w:rPr>
            <w:rStyle w:val="Hyperlink"/>
          </w:rPr>
          <w:t>Association of Family and Conciliation Courts &gt; Conferences &amp; Training &gt; AFCC Webinars &gt; Judicial Officers Webinars (afccnet.org)</w:t>
        </w:r>
      </w:hyperlink>
    </w:p>
    <w:sectPr w:rsidR="00D64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32"/>
    <w:rsid w:val="00114C32"/>
    <w:rsid w:val="00766A30"/>
    <w:rsid w:val="008A38D9"/>
    <w:rsid w:val="00AF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F51F5"/>
  <w15:chartTrackingRefBased/>
  <w15:docId w15:val="{82B7E6D8-25AE-4038-A091-BA773BAF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6A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fccnet.org/Conferences-Training/Judicial-Webina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 Landikusic</dc:creator>
  <cp:keywords/>
  <dc:description/>
  <cp:lastModifiedBy>Lilly Landikusic</cp:lastModifiedBy>
  <cp:revision>2</cp:revision>
  <dcterms:created xsi:type="dcterms:W3CDTF">2021-08-15T18:57:00Z</dcterms:created>
  <dcterms:modified xsi:type="dcterms:W3CDTF">2021-08-15T18:57:00Z</dcterms:modified>
</cp:coreProperties>
</file>