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val="0"/>
          <w:i w:val="0"/>
          <w:sz w:val="24"/>
        </w:rPr>
        <w:t>FIAP — Faculdade de Informática e Administração Paulista</w:t>
      </w:r>
    </w:p>
    <w:p>
      <w:pPr>
        <w:jc w:val="center"/>
      </w:pPr>
      <w:r>
        <w:rPr>
          <w:b w:val="0"/>
          <w:i w:val="0"/>
          <w:sz w:val="22"/>
        </w:rPr>
        <w:t>Tarefa Anual 2026 · Turma 3ESOA · Grupo CodeSquad</w:t>
      </w:r>
    </w:p>
    <w:p/>
    <w:p>
      <w:pPr>
        <w:jc w:val="center"/>
      </w:pPr>
      <w:r>
        <w:rPr>
          <w:b/>
          <w:i w:val="0"/>
          <w:color w:val="7B1E3A"/>
          <w:sz w:val="48"/>
        </w:rPr>
        <w:t>Vinheria Agnello — Arquitetura de APIs e Microsserviços</w:t>
      </w:r>
    </w:p>
    <w:p>
      <w:pPr>
        <w:jc w:val="center"/>
      </w:pPr>
      <w:r>
        <w:rPr>
          <w:b w:val="0"/>
          <w:i w:val="0"/>
          <w:sz w:val="26"/>
        </w:rPr>
        <w:t>Fase 6 — Atividade em grupo: documento consolidado</w:t>
      </w:r>
    </w:p>
    <w:p/>
    <w:p>
      <w:pPr>
        <w:keepNext/>
        <w:spacing w:after="60" w:before="0"/>
        <w:jc w:val="left"/>
      </w:pPr>
      <w:r>
        <w:rPr>
          <w:b w:val="0"/>
          <w:i/>
          <w:color w:val="595959"/>
          <w:sz w:val="19"/>
        </w:rPr>
        <w:t>Integrantes e itens de responsabilidade</w:t>
      </w:r>
    </w:p>
    <w:tbl>
      <w:tblPr>
        <w:tblStyle w:val="TableGrid"/>
        <w:tblW w:type="auto" w:w="0"/>
        <w:tblLook w:firstColumn="1" w:firstRow="1" w:lastColumn="0" w:lastRow="0" w:noHBand="0" w:noVBand="1" w:val="04A0"/>
      </w:tblPr>
      <w:tblGrid>
        <w:gridCol w:w="3118"/>
        <w:gridCol w:w="3118"/>
        <w:gridCol w:w="3118"/>
      </w:tblGrid>
      <w:tr>
        <w:tc>
          <w:tcPr>
            <w:tcW w:type="dxa" w:w="3515"/>
            <w:shd w:val="clear" w:fill="F4E7EB"/>
          </w:tcPr>
          <w:p>
            <w:pPr>
              <w:jc w:val="left"/>
            </w:pPr>
            <w:r>
              <w:rPr>
                <w:b/>
              </w:rPr>
            </w:r>
            <w:r>
              <w:rPr>
                <w:b/>
                <w:i w:val="0"/>
                <w:sz w:val="20"/>
              </w:rPr>
              <w:t>Nome completo</w:t>
            </w:r>
          </w:p>
        </w:tc>
        <w:tc>
          <w:tcPr>
            <w:tcW w:type="dxa" w:w="1020"/>
            <w:shd w:val="clear" w:fill="F4E7EB"/>
          </w:tcPr>
          <w:p>
            <w:pPr>
              <w:jc w:val="left"/>
            </w:pPr>
            <w:r>
              <w:rPr>
                <w:b/>
              </w:rPr>
            </w:r>
            <w:r>
              <w:rPr>
                <w:b/>
                <w:i w:val="0"/>
                <w:sz w:val="20"/>
              </w:rPr>
              <w:t>RM</w:t>
            </w:r>
          </w:p>
        </w:tc>
        <w:tc>
          <w:tcPr>
            <w:tcW w:type="dxa" w:w="5102"/>
            <w:shd w:val="clear" w:fill="F4E7EB"/>
          </w:tcPr>
          <w:p>
            <w:pPr>
              <w:jc w:val="left"/>
            </w:pPr>
            <w:r>
              <w:rPr>
                <w:b/>
              </w:rPr>
            </w:r>
            <w:r>
              <w:rPr>
                <w:b/>
                <w:i w:val="0"/>
                <w:sz w:val="20"/>
              </w:rPr>
              <w:t>Item de responsabilidade</w:t>
            </w:r>
          </w:p>
        </w:tc>
      </w:tr>
      <w:tr>
        <w:tc>
          <w:tcPr>
            <w:tcW w:type="dxa" w:w="3515"/>
          </w:tcPr>
          <w:p>
            <w:pPr>
              <w:jc w:val="left"/>
            </w:pPr>
            <w:r/>
            <w:r>
              <w:rPr>
                <w:b w:val="0"/>
                <w:i w:val="0"/>
                <w:sz w:val="20"/>
              </w:rPr>
              <w:t>Roger Viana Gonçalves de Alencar</w:t>
            </w:r>
          </w:p>
        </w:tc>
        <w:tc>
          <w:tcPr>
            <w:tcW w:type="dxa" w:w="1020"/>
          </w:tcPr>
          <w:p>
            <w:pPr>
              <w:jc w:val="left"/>
            </w:pPr>
            <w:r/>
            <w:r>
              <w:rPr>
                <w:b w:val="0"/>
                <w:i w:val="0"/>
                <w:sz w:val="20"/>
              </w:rPr>
              <w:t>97540</w:t>
            </w:r>
          </w:p>
        </w:tc>
        <w:tc>
          <w:tcPr>
            <w:tcW w:type="dxa" w:w="5102"/>
          </w:tcPr>
          <w:p>
            <w:pPr>
              <w:jc w:val="left"/>
            </w:pPr>
            <w:r/>
            <w:r>
              <w:rPr>
                <w:b w:val="0"/>
                <w:i w:val="0"/>
                <w:sz w:val="20"/>
              </w:rPr>
              <w:t>Item 1 — Identificação dos microsserviços e fronteiras de domínio</w:t>
            </w:r>
          </w:p>
        </w:tc>
      </w:tr>
      <w:tr>
        <w:tc>
          <w:tcPr>
            <w:tcW w:type="dxa" w:w="3515"/>
          </w:tcPr>
          <w:p>
            <w:pPr>
              <w:jc w:val="left"/>
            </w:pPr>
            <w:r/>
            <w:r>
              <w:rPr>
                <w:b w:val="0"/>
                <w:i w:val="0"/>
                <w:sz w:val="20"/>
              </w:rPr>
              <w:t>Kevin Benevides da Silva Romariz</w:t>
            </w:r>
          </w:p>
        </w:tc>
        <w:tc>
          <w:tcPr>
            <w:tcW w:type="dxa" w:w="1020"/>
          </w:tcPr>
          <w:p>
            <w:pPr>
              <w:jc w:val="left"/>
            </w:pPr>
            <w:r/>
            <w:r>
              <w:rPr>
                <w:b w:val="0"/>
                <w:i w:val="0"/>
                <w:sz w:val="20"/>
              </w:rPr>
              <w:t>557898</w:t>
            </w:r>
          </w:p>
        </w:tc>
        <w:tc>
          <w:tcPr>
            <w:tcW w:type="dxa" w:w="5102"/>
          </w:tcPr>
          <w:p>
            <w:pPr>
              <w:jc w:val="left"/>
            </w:pPr>
            <w:r/>
            <w:r>
              <w:rPr>
                <w:b w:val="0"/>
                <w:i w:val="0"/>
                <w:sz w:val="20"/>
              </w:rPr>
              <w:t>Item 2 — Diagrama de arquitetura</w:t>
            </w:r>
          </w:p>
        </w:tc>
      </w:tr>
      <w:tr>
        <w:tc>
          <w:tcPr>
            <w:tcW w:type="dxa" w:w="3515"/>
          </w:tcPr>
          <w:p>
            <w:pPr>
              <w:jc w:val="left"/>
            </w:pPr>
            <w:r/>
            <w:r>
              <w:rPr>
                <w:b w:val="0"/>
                <w:i w:val="0"/>
                <w:sz w:val="20"/>
              </w:rPr>
              <w:t>André Luiz dos Santos Flores</w:t>
            </w:r>
          </w:p>
        </w:tc>
        <w:tc>
          <w:tcPr>
            <w:tcW w:type="dxa" w:w="1020"/>
          </w:tcPr>
          <w:p>
            <w:pPr>
              <w:jc w:val="left"/>
            </w:pPr>
            <w:r/>
            <w:r>
              <w:rPr>
                <w:b w:val="0"/>
                <w:i w:val="0"/>
                <w:sz w:val="20"/>
              </w:rPr>
              <w:t>554952</w:t>
            </w:r>
          </w:p>
        </w:tc>
        <w:tc>
          <w:tcPr>
            <w:tcW w:type="dxa" w:w="5102"/>
          </w:tcPr>
          <w:p>
            <w:pPr>
              <w:jc w:val="left"/>
            </w:pPr>
            <w:r/>
            <w:r>
              <w:rPr>
                <w:b w:val="0"/>
                <w:i w:val="0"/>
                <w:sz w:val="20"/>
              </w:rPr>
              <w:t>Item 3 — Padrões de arquitetura e justificativas</w:t>
            </w:r>
          </w:p>
        </w:tc>
      </w:tr>
      <w:tr>
        <w:tc>
          <w:tcPr>
            <w:tcW w:type="dxa" w:w="3515"/>
          </w:tcPr>
          <w:p>
            <w:pPr>
              <w:jc w:val="left"/>
            </w:pPr>
            <w:r/>
            <w:r>
              <w:rPr>
                <w:b w:val="0"/>
                <w:i w:val="0"/>
                <w:sz w:val="20"/>
              </w:rPr>
              <w:t>Arthur Cei Corrêa</w:t>
            </w:r>
          </w:p>
        </w:tc>
        <w:tc>
          <w:tcPr>
            <w:tcW w:type="dxa" w:w="1020"/>
          </w:tcPr>
          <w:p>
            <w:pPr>
              <w:jc w:val="left"/>
            </w:pPr>
            <w:r/>
            <w:r>
              <w:rPr>
                <w:b w:val="0"/>
                <w:i w:val="0"/>
                <w:sz w:val="20"/>
              </w:rPr>
              <w:t>97781</w:t>
            </w:r>
          </w:p>
        </w:tc>
        <w:tc>
          <w:tcPr>
            <w:tcW w:type="dxa" w:w="5102"/>
          </w:tcPr>
          <w:p>
            <w:pPr>
              <w:jc w:val="left"/>
            </w:pPr>
            <w:r/>
            <w:r>
              <w:rPr>
                <w:b w:val="0"/>
                <w:i w:val="0"/>
                <w:sz w:val="20"/>
              </w:rPr>
              <w:t>Item 4 — Integração entre microsserviços (síncrono x assíncrono)</w:t>
            </w:r>
          </w:p>
        </w:tc>
      </w:tr>
      <w:tr>
        <w:tc>
          <w:tcPr>
            <w:tcW w:type="dxa" w:w="3515"/>
          </w:tcPr>
          <w:p>
            <w:pPr>
              <w:jc w:val="left"/>
            </w:pPr>
            <w:r/>
            <w:r>
              <w:rPr>
                <w:b w:val="0"/>
                <w:i w:val="0"/>
                <w:sz w:val="20"/>
              </w:rPr>
              <w:t>Yasmin Kimura</w:t>
            </w:r>
          </w:p>
        </w:tc>
        <w:tc>
          <w:tcPr>
            <w:tcW w:type="dxa" w:w="1020"/>
          </w:tcPr>
          <w:p>
            <w:pPr>
              <w:jc w:val="left"/>
            </w:pPr>
            <w:r/>
            <w:r>
              <w:rPr>
                <w:b w:val="0"/>
                <w:i w:val="0"/>
                <w:sz w:val="20"/>
              </w:rPr>
              <w:t>557413</w:t>
            </w:r>
          </w:p>
        </w:tc>
        <w:tc>
          <w:tcPr>
            <w:tcW w:type="dxa" w:w="5102"/>
          </w:tcPr>
          <w:p>
            <w:pPr>
              <w:jc w:val="left"/>
            </w:pPr>
            <w:r/>
            <w:r>
              <w:rPr>
                <w:b w:val="0"/>
                <w:i w:val="0"/>
                <w:sz w:val="20"/>
              </w:rPr>
              <w:t>Item 5 — Segurança, escalabilidade, resiliência e governança; consolidação do documento</w:t>
            </w:r>
          </w:p>
        </w:tc>
      </w:tr>
    </w:tbl>
    <w:p/>
    <w:p>
      <w:pPr>
        <w:jc w:val="center"/>
      </w:pPr>
      <w:r>
        <w:rPr>
          <w:b w:val="0"/>
          <w:i w:val="0"/>
          <w:sz w:val="20"/>
        </w:rPr>
        <w:t>Repositório oficial: https://github.com/CodeSquad-FIAP/VinheriaAgnello</w:t>
      </w:r>
    </w:p>
    <w:p>
      <w:pPr>
        <w:jc w:val="center"/>
      </w:pPr>
      <w:r>
        <w:rPr>
          <w:b w:val="0"/>
          <w:i w:val="0"/>
          <w:sz w:val="20"/>
        </w:rPr>
        <w:t>Outubro de 2026</w:t>
      </w:r>
    </w:p>
    <w:p>
      <w:pPr>
        <w:sectPr>
          <w:footerReference w:type="default" r:id="rId9"/>
          <w:pgSz w:w="11906" w:h="16838"/>
          <w:pgMar w:top="1134" w:right="1134" w:bottom="1134" w:left="1417" w:header="720" w:footer="720" w:gutter="0"/>
          <w:cols w:space="720"/>
          <w:docGrid w:linePitch="360"/>
        </w:sectPr>
      </w:pPr>
    </w:p>
    <w:p>
      <w:pPr>
        <w:pStyle w:val="Heading1"/>
      </w:pPr>
      <w:r>
        <w:rPr>
          <w:b w:val="0"/>
          <w:i w:val="0"/>
          <w:sz w:val="22"/>
        </w:rPr>
        <w:t>Sobre este documento</w:t>
      </w:r>
    </w:p>
    <w:p>
      <w:r>
        <w:rPr>
          <w:b w:val="0"/>
          <w:i w:val="0"/>
          <w:sz w:val="22"/>
        </w:rPr>
        <w:t>Este documento consolida, na ordem exigida pelo enunciado, as cinco seções da Fase 6 da Tarefa Anual: (1) identificação dos microsserviços e fronteiras de domínio; (2) diagrama de arquitetura; (3) padrões de arquitetura e justificativas; (4) integração entre serviços — comunicação síncrona e assíncrona; e (5) segurança, escalabilidade, resiliência e governança.</w:t>
      </w:r>
    </w:p>
    <w:p>
      <w:r>
        <w:rPr>
          <w:b w:val="0"/>
          <w:i w:val="0"/>
          <w:sz w:val="22"/>
        </w:rPr>
        <w:t>Cada seção foi escrita pelo integrante responsável, indicado no início da seção, a partir do arquivo Markdown correspondente no repositório do grupo (</w:t>
      </w:r>
      <w:r>
        <w:rPr>
          <w:rFonts w:ascii="Consolas" w:hAnsi="Consolas"/>
          <w:b w:val="0"/>
          <w:i w:val="0"/>
          <w:color w:val="8B1A3A"/>
          <w:sz w:val="21"/>
        </w:rPr>
        <w:t>Documentacao/Fase6/</w:t>
      </w:r>
      <w:r>
        <w:rPr>
          <w:b w:val="0"/>
          <w:i w:val="0"/>
          <w:sz w:val="22"/>
        </w:rPr>
        <w:t>). A consolidação manteve o conteúdo das partes e padronizou a numeração de seções, tabelas e figuras e as remissões internas, que agora apontam para as seções deste documento em vez de para os arquivos de origem.</w:t>
      </w:r>
    </w:p>
    <w:p>
      <w:r>
        <w:rPr>
          <w:b w:val="0"/>
          <w:i w:val="0"/>
          <w:sz w:val="22"/>
        </w:rPr>
        <w:t xml:space="preserve">As Figuras 1 a 4 vêm do arquivo </w:t>
      </w:r>
      <w:r>
        <w:rPr>
          <w:rFonts w:ascii="Consolas" w:hAnsi="Consolas"/>
          <w:b w:val="0"/>
          <w:i w:val="0"/>
          <w:color w:val="8B1A3A"/>
          <w:sz w:val="21"/>
        </w:rPr>
        <w:t>P2_arquitetura.drawio</w:t>
      </w:r>
      <w:r>
        <w:rPr>
          <w:b w:val="0"/>
          <w:i w:val="0"/>
          <w:sz w:val="22"/>
        </w:rPr>
        <w:t>, que tem quatro páginas (visão geral e três detalhes). Os registros de revisão de cada seção e as instruções para regenerar as figuras estão nos apêndices.</w:t>
      </w:r>
    </w:p>
    <w:p>
      <w:pPr>
        <w:pStyle w:val="Heading1"/>
      </w:pPr>
      <w:r>
        <w:rPr>
          <w:b w:val="0"/>
          <w:i w:val="0"/>
          <w:sz w:val="22"/>
        </w:rPr>
        <w:t>Sumário</w:t>
      </w:r>
    </w:p>
    <w:p>
      <w:pPr>
        <w:spacing w:after="40"/>
      </w:pPr>
      <w:r>
        <w:rPr>
          <w:b/>
          <w:i w:val="0"/>
          <w:sz w:val="22"/>
        </w:rPr>
        <w:t>1. Identificação dos Microsserviços e Fronteiras de Domínio</w:t>
      </w:r>
    </w:p>
    <w:p>
      <w:pPr>
        <w:spacing w:after="0"/>
        <w:ind w:left="794"/>
      </w:pPr>
      <w:r>
        <w:rPr>
          <w:b w:val="0"/>
          <w:i w:val="0"/>
          <w:sz w:val="20"/>
        </w:rPr>
        <w:t>1.1 Serviços candidatos a microsserviço</w:t>
      </w:r>
    </w:p>
    <w:p>
      <w:pPr>
        <w:spacing w:after="0"/>
        <w:ind w:left="1134"/>
      </w:pPr>
      <w:r>
        <w:rPr>
          <w:b w:val="0"/>
          <w:i w:val="0"/>
          <w:sz w:val="20"/>
        </w:rPr>
        <w:t>1.1.1 Regras de posse dos dados (uma entidade, um dono)</w:t>
      </w:r>
    </w:p>
    <w:p>
      <w:pPr>
        <w:spacing w:after="0"/>
        <w:ind w:left="1134"/>
      </w:pPr>
      <w:r>
        <w:rPr>
          <w:b w:val="0"/>
          <w:i w:val="0"/>
          <w:sz w:val="20"/>
        </w:rPr>
        <w:t>1.1.2 Sobre a contagem</w:t>
      </w:r>
    </w:p>
    <w:p>
      <w:pPr>
        <w:spacing w:after="0"/>
        <w:ind w:left="1134"/>
      </w:pPr>
      <w:r>
        <w:rPr>
          <w:b w:val="0"/>
          <w:i w:val="0"/>
          <w:sz w:val="20"/>
        </w:rPr>
        <w:t>1.1.3 Critérios de aceite — conferência</w:t>
      </w:r>
    </w:p>
    <w:p>
      <w:pPr>
        <w:spacing w:after="0"/>
        <w:ind w:left="1134"/>
      </w:pPr>
      <w:r>
        <w:rPr>
          <w:b w:val="0"/>
          <w:i w:val="0"/>
          <w:sz w:val="20"/>
        </w:rPr>
        <w:t>1.1.4 Dono do dado por entidade</w:t>
      </w:r>
    </w:p>
    <w:p>
      <w:pPr>
        <w:spacing w:after="0"/>
        <w:ind w:left="794"/>
      </w:pPr>
      <w:r>
        <w:rPr>
          <w:b w:val="0"/>
          <w:i w:val="0"/>
          <w:sz w:val="20"/>
        </w:rPr>
        <w:t>1.2 Fronteiras de domínio</w:t>
      </w:r>
    </w:p>
    <w:p>
      <w:pPr>
        <w:spacing w:after="0"/>
        <w:ind w:left="794"/>
      </w:pPr>
      <w:r>
        <w:rPr>
          <w:b w:val="0"/>
          <w:i w:val="0"/>
          <w:sz w:val="20"/>
        </w:rPr>
        <w:t>1.3 O que NÃO vira microsserviço (e por quê)</w:t>
      </w:r>
    </w:p>
    <w:p>
      <w:pPr>
        <w:spacing w:after="0"/>
        <w:ind w:left="794"/>
      </w:pPr>
      <w:r>
        <w:rPr>
          <w:b w:val="0"/>
          <w:i w:val="0"/>
          <w:sz w:val="20"/>
        </w:rPr>
        <w:t>1.4 Do repositório ao serviço</w:t>
      </w:r>
    </w:p>
    <w:p>
      <w:pPr>
        <w:spacing w:after="0"/>
        <w:ind w:left="794"/>
      </w:pPr>
      <w:r>
        <w:rPr>
          <w:b w:val="0"/>
          <w:i w:val="0"/>
          <w:sz w:val="20"/>
        </w:rPr>
        <w:t>1.5 Reconciliação com os domínios do enunciado</w:t>
      </w:r>
    </w:p>
    <w:p>
      <w:pPr>
        <w:spacing w:after="0"/>
        <w:ind w:left="794"/>
      </w:pPr>
      <w:r>
        <w:rPr>
          <w:b w:val="0"/>
          <w:i w:val="0"/>
          <w:sz w:val="20"/>
        </w:rPr>
        <w:t>1.6 Glossário de nomes</w:t>
      </w:r>
    </w:p>
    <w:p>
      <w:pPr>
        <w:spacing w:after="40"/>
      </w:pPr>
      <w:r>
        <w:rPr>
          <w:b/>
          <w:i w:val="0"/>
          <w:sz w:val="22"/>
        </w:rPr>
        <w:t>2. Diagrama de Arquitetura</w:t>
      </w:r>
    </w:p>
    <w:p>
      <w:pPr>
        <w:spacing w:after="0"/>
        <w:ind w:left="794"/>
      </w:pPr>
      <w:r>
        <w:rPr>
          <w:b w:val="0"/>
          <w:i w:val="0"/>
          <w:sz w:val="20"/>
        </w:rPr>
        <w:t>2.1 Como ler o diagrama</w:t>
      </w:r>
    </w:p>
    <w:p>
      <w:pPr>
        <w:spacing w:after="0"/>
        <w:ind w:left="794"/>
      </w:pPr>
      <w:r>
        <w:rPr>
          <w:b w:val="0"/>
          <w:i w:val="0"/>
          <w:sz w:val="20"/>
        </w:rPr>
        <w:t>2.2 Legenda</w:t>
      </w:r>
    </w:p>
    <w:p>
      <w:pPr>
        <w:spacing w:after="0"/>
        <w:ind w:left="794"/>
      </w:pPr>
      <w:r>
        <w:rPr>
          <w:b w:val="0"/>
          <w:i w:val="0"/>
          <w:sz w:val="20"/>
        </w:rPr>
        <w:t>2.3 Conferência dos critérios de aceite</w:t>
      </w:r>
    </w:p>
    <w:p>
      <w:pPr>
        <w:spacing w:after="0"/>
        <w:ind w:left="794"/>
      </w:pPr>
      <w:r>
        <w:rPr>
          <w:b w:val="0"/>
          <w:i w:val="0"/>
          <w:sz w:val="20"/>
        </w:rPr>
        <w:t>2.4 Figuras de detalhe e tamanho de impressão</w:t>
      </w:r>
    </w:p>
    <w:p>
      <w:pPr>
        <w:spacing w:after="40"/>
      </w:pPr>
      <w:r>
        <w:rPr>
          <w:b/>
          <w:i w:val="0"/>
          <w:sz w:val="22"/>
        </w:rPr>
        <w:t>3. Padrões de Arquitetura e Justificativas</w:t>
      </w:r>
    </w:p>
    <w:p>
      <w:pPr>
        <w:spacing w:after="0"/>
        <w:ind w:left="794"/>
      </w:pPr>
      <w:r>
        <w:rPr>
          <w:b w:val="0"/>
          <w:i w:val="0"/>
          <w:sz w:val="20"/>
        </w:rPr>
        <w:t>3.1 Padrões obrigatórios</w:t>
      </w:r>
    </w:p>
    <w:p>
      <w:pPr>
        <w:spacing w:after="0"/>
        <w:ind w:left="1134"/>
      </w:pPr>
      <w:r>
        <w:rPr>
          <w:b w:val="0"/>
          <w:i w:val="0"/>
          <w:sz w:val="20"/>
        </w:rPr>
        <w:t>3.1.1 API Gateway Pattern</w:t>
      </w:r>
    </w:p>
    <w:p>
      <w:pPr>
        <w:spacing w:after="0"/>
        <w:ind w:left="1134"/>
      </w:pPr>
      <w:r>
        <w:rPr>
          <w:b w:val="0"/>
          <w:i w:val="0"/>
          <w:sz w:val="20"/>
        </w:rPr>
        <w:t>3.1.2 Service Discovery Pattern</w:t>
      </w:r>
    </w:p>
    <w:p>
      <w:pPr>
        <w:spacing w:after="0"/>
        <w:ind w:left="1134"/>
      </w:pPr>
      <w:r>
        <w:rPr>
          <w:b w:val="0"/>
          <w:i w:val="0"/>
          <w:sz w:val="20"/>
        </w:rPr>
        <w:t>3.1.3 Database per Service Pattern</w:t>
      </w:r>
    </w:p>
    <w:p>
      <w:pPr>
        <w:spacing w:after="0"/>
        <w:ind w:left="1134"/>
      </w:pPr>
      <w:r>
        <w:rPr>
          <w:b w:val="0"/>
          <w:i w:val="0"/>
          <w:sz w:val="20"/>
        </w:rPr>
        <w:t>3.1.4 Saga Pattern</w:t>
      </w:r>
    </w:p>
    <w:p>
      <w:pPr>
        <w:spacing w:after="0"/>
        <w:ind w:left="1474"/>
      </w:pPr>
      <w:r>
        <w:rPr>
          <w:b w:val="0"/>
          <w:i w:val="0"/>
          <w:sz w:val="20"/>
        </w:rPr>
        <w:t>3.1.4.1 Coreografia x orquestração</w:t>
      </w:r>
    </w:p>
    <w:p>
      <w:pPr>
        <w:spacing w:after="0"/>
        <w:ind w:left="1474"/>
      </w:pPr>
      <w:r>
        <w:rPr>
          <w:b w:val="0"/>
          <w:i w:val="0"/>
          <w:sz w:val="20"/>
        </w:rPr>
        <w:t>3.1.4.2 Escolha para a Vinheria</w:t>
      </w:r>
    </w:p>
    <w:p>
      <w:pPr>
        <w:spacing w:after="0"/>
        <w:ind w:left="794"/>
      </w:pPr>
      <w:r>
        <w:rPr>
          <w:b w:val="0"/>
          <w:i w:val="0"/>
          <w:sz w:val="20"/>
        </w:rPr>
        <w:t>3.2 Padrões adicionais</w:t>
      </w:r>
    </w:p>
    <w:p>
      <w:pPr>
        <w:spacing w:after="0"/>
        <w:ind w:left="1134"/>
      </w:pPr>
      <w:r>
        <w:rPr>
          <w:b w:val="0"/>
          <w:i w:val="0"/>
          <w:sz w:val="20"/>
        </w:rPr>
        <w:t>3.2.1 Strangler Fig Pattern</w:t>
      </w:r>
    </w:p>
    <w:p>
      <w:pPr>
        <w:spacing w:after="0"/>
        <w:ind w:left="1134"/>
      </w:pPr>
      <w:r>
        <w:rPr>
          <w:b w:val="0"/>
          <w:i w:val="0"/>
          <w:sz w:val="20"/>
        </w:rPr>
        <w:t>3.2.2 Cache (Redis) + API Composition</w:t>
      </w:r>
    </w:p>
    <w:p>
      <w:pPr>
        <w:spacing w:after="0"/>
        <w:ind w:left="1134"/>
      </w:pPr>
      <w:r>
        <w:rPr>
          <w:b w:val="0"/>
          <w:i w:val="0"/>
          <w:sz w:val="20"/>
        </w:rPr>
        <w:t>3.2.3 Service Mesh com mTLS</w:t>
      </w:r>
    </w:p>
    <w:p>
      <w:pPr>
        <w:spacing w:after="0"/>
        <w:ind w:left="794"/>
      </w:pPr>
      <w:r>
        <w:rPr>
          <w:b w:val="0"/>
          <w:i w:val="0"/>
          <w:sz w:val="20"/>
        </w:rPr>
        <w:t>3.3 Padrões avaliados e não incluídos nesta versão</w:t>
      </w:r>
    </w:p>
    <w:p>
      <w:pPr>
        <w:spacing w:after="0"/>
        <w:ind w:left="794"/>
      </w:pPr>
      <w:r>
        <w:rPr>
          <w:b w:val="0"/>
          <w:i w:val="0"/>
          <w:sz w:val="20"/>
        </w:rPr>
        <w:t>3.4 Conferência dos critérios de aceite</w:t>
      </w:r>
    </w:p>
    <w:p>
      <w:pPr>
        <w:spacing w:after="0"/>
        <w:ind w:left="794"/>
      </w:pPr>
      <w:r>
        <w:rPr>
          <w:b w:val="0"/>
          <w:i w:val="0"/>
          <w:sz w:val="20"/>
        </w:rPr>
        <w:t>3.5 Dependências e fronteiras com as outras partes</w:t>
      </w:r>
    </w:p>
    <w:p>
      <w:pPr>
        <w:spacing w:after="40"/>
      </w:pPr>
      <w:r>
        <w:rPr>
          <w:b/>
          <w:i w:val="0"/>
          <w:sz w:val="22"/>
        </w:rPr>
        <w:t>4. Integração entre Serviços: Comunicação Síncrona x Assíncrona</w:t>
      </w:r>
    </w:p>
    <w:p>
      <w:pPr>
        <w:spacing w:after="0"/>
        <w:ind w:left="794"/>
      </w:pPr>
      <w:r>
        <w:rPr>
          <w:b w:val="0"/>
          <w:i w:val="0"/>
          <w:sz w:val="20"/>
        </w:rPr>
        <w:t>4.1 Regra de decisão</w:t>
      </w:r>
    </w:p>
    <w:p>
      <w:pPr>
        <w:spacing w:after="0"/>
        <w:ind w:left="794"/>
      </w:pPr>
      <w:r>
        <w:rPr>
          <w:b w:val="0"/>
          <w:i w:val="0"/>
          <w:sz w:val="20"/>
        </w:rPr>
        <w:t>4.2 Matriz de comunicação</w:t>
      </w:r>
    </w:p>
    <w:p>
      <w:pPr>
        <w:spacing w:after="0"/>
        <w:ind w:left="794"/>
      </w:pPr>
      <w:r>
        <w:rPr>
          <w:b w:val="0"/>
          <w:i w:val="0"/>
          <w:sz w:val="20"/>
        </w:rPr>
        <w:t>4.3 Catálogo de eventos e tópicos</w:t>
      </w:r>
    </w:p>
    <w:p>
      <w:pPr>
        <w:spacing w:after="0"/>
        <w:ind w:left="794"/>
      </w:pPr>
      <w:r>
        <w:rPr>
          <w:b w:val="0"/>
          <w:i w:val="0"/>
          <w:sz w:val="20"/>
        </w:rPr>
        <w:t>4.4 Fluxos ponta a ponta</w:t>
      </w:r>
    </w:p>
    <w:p>
      <w:pPr>
        <w:spacing w:after="0"/>
        <w:ind w:left="1134"/>
      </w:pPr>
      <w:r>
        <w:rPr>
          <w:b w:val="0"/>
          <w:i w:val="0"/>
          <w:sz w:val="20"/>
        </w:rPr>
        <w:t>4.4.1 Compra de vinho</w:t>
      </w:r>
    </w:p>
    <w:p>
      <w:pPr>
        <w:spacing w:after="0"/>
        <w:ind w:left="1134"/>
      </w:pPr>
      <w:r>
        <w:rPr>
          <w:b w:val="0"/>
          <w:i w:val="0"/>
          <w:sz w:val="20"/>
        </w:rPr>
        <w:t>4.4.2 Alerta de temperatura da adega</w:t>
      </w:r>
    </w:p>
    <w:p>
      <w:pPr>
        <w:spacing w:after="0"/>
        <w:ind w:left="1134"/>
      </w:pPr>
      <w:r>
        <w:rPr>
          <w:b w:val="0"/>
          <w:i w:val="0"/>
          <w:sz w:val="20"/>
        </w:rPr>
        <w:t>4.4.3 Rastreabilidade e consulta do dia a dia</w:t>
      </w:r>
    </w:p>
    <w:p>
      <w:pPr>
        <w:spacing w:after="0"/>
        <w:ind w:left="794"/>
      </w:pPr>
      <w:r>
        <w:rPr>
          <w:b w:val="0"/>
          <w:i w:val="0"/>
          <w:sz w:val="20"/>
        </w:rPr>
        <w:t>4.5 Conferência dos critérios de aceite</w:t>
      </w:r>
    </w:p>
    <w:p>
      <w:pPr>
        <w:spacing w:after="0"/>
        <w:ind w:left="794"/>
      </w:pPr>
      <w:r>
        <w:rPr>
          <w:b w:val="0"/>
          <w:i w:val="0"/>
          <w:sz w:val="20"/>
        </w:rPr>
        <w:t>4.6 Consistência com as seções 1, 2 e 5</w:t>
      </w:r>
    </w:p>
    <w:p>
      <w:pPr>
        <w:spacing w:after="40"/>
      </w:pPr>
      <w:r>
        <w:rPr>
          <w:b/>
          <w:i w:val="0"/>
          <w:sz w:val="22"/>
        </w:rPr>
        <w:t>5. Segurança, Escalabilidade, Resiliência e Governança</w:t>
      </w:r>
    </w:p>
    <w:p>
      <w:pPr>
        <w:spacing w:after="0"/>
        <w:ind w:left="794"/>
      </w:pPr>
      <w:r>
        <w:rPr>
          <w:b w:val="0"/>
          <w:i w:val="0"/>
          <w:sz w:val="20"/>
        </w:rPr>
        <w:t>5.1 Escopo e ligação com as demais partes</w:t>
      </w:r>
    </w:p>
    <w:p>
      <w:pPr>
        <w:spacing w:after="0"/>
        <w:ind w:left="794"/>
      </w:pPr>
      <w:r>
        <w:rPr>
          <w:b w:val="0"/>
          <w:i w:val="0"/>
          <w:sz w:val="20"/>
        </w:rPr>
        <w:t>5.2 Retrato do sistema atual (evidências do repositório)</w:t>
      </w:r>
    </w:p>
    <w:p>
      <w:pPr>
        <w:spacing w:after="0"/>
        <w:ind w:left="794"/>
      </w:pPr>
      <w:r>
        <w:rPr>
          <w:b w:val="0"/>
          <w:i w:val="0"/>
          <w:sz w:val="20"/>
        </w:rPr>
        <w:t>5.3 Autenticação</w:t>
      </w:r>
    </w:p>
    <w:p>
      <w:pPr>
        <w:spacing w:after="0"/>
        <w:ind w:left="1134"/>
      </w:pPr>
      <w:r>
        <w:rPr>
          <w:b w:val="0"/>
          <w:i w:val="0"/>
          <w:sz w:val="20"/>
        </w:rPr>
        <w:t>5.3.1 Padrão escolhido: OAuth 2.0 / OpenID Connect com Keycloak</w:t>
      </w:r>
    </w:p>
    <w:p>
      <w:pPr>
        <w:spacing w:after="0"/>
        <w:ind w:left="1134"/>
      </w:pPr>
      <w:r>
        <w:rPr>
          <w:b w:val="0"/>
          <w:i w:val="0"/>
          <w:sz w:val="20"/>
        </w:rPr>
        <w:t>5.3.2 Onde o token é validado: no API Gateway</w:t>
      </w:r>
    </w:p>
    <w:p>
      <w:pPr>
        <w:spacing w:after="0"/>
        <w:ind w:left="1134"/>
      </w:pPr>
      <w:r>
        <w:rPr>
          <w:b w:val="0"/>
          <w:i w:val="0"/>
          <w:sz w:val="20"/>
        </w:rPr>
        <w:t>5.3.3 Fluxos por tipo de cliente</w:t>
      </w:r>
    </w:p>
    <w:p>
      <w:pPr>
        <w:spacing w:after="0"/>
        <w:ind w:left="1134"/>
      </w:pPr>
      <w:r>
        <w:rPr>
          <w:b w:val="0"/>
          <w:i w:val="0"/>
          <w:sz w:val="20"/>
        </w:rPr>
        <w:t>5.3.4 Comunicação entre serviços</w:t>
      </w:r>
    </w:p>
    <w:p>
      <w:pPr>
        <w:spacing w:after="0"/>
        <w:ind w:left="1134"/>
      </w:pPr>
      <w:r>
        <w:rPr>
          <w:b w:val="0"/>
          <w:i w:val="0"/>
          <w:sz w:val="20"/>
        </w:rPr>
        <w:t>5.3.5 Boas práticas de API aplicadas</w:t>
      </w:r>
    </w:p>
    <w:p>
      <w:pPr>
        <w:spacing w:after="0"/>
        <w:ind w:left="794"/>
      </w:pPr>
      <w:r>
        <w:rPr>
          <w:b w:val="0"/>
          <w:i w:val="0"/>
          <w:sz w:val="20"/>
        </w:rPr>
        <w:t>5.4 Autorização (RBAC + ABAC)</w:t>
      </w:r>
    </w:p>
    <w:p>
      <w:pPr>
        <w:spacing w:after="0"/>
        <w:ind w:left="794"/>
      </w:pPr>
      <w:r>
        <w:rPr>
          <w:b w:val="0"/>
          <w:i w:val="0"/>
          <w:sz w:val="20"/>
        </w:rPr>
        <w:t>5.5 Escalabilidade</w:t>
      </w:r>
    </w:p>
    <w:p>
      <w:pPr>
        <w:spacing w:after="0"/>
        <w:ind w:left="794"/>
      </w:pPr>
      <w:r>
        <w:rPr>
          <w:b w:val="0"/>
          <w:i w:val="0"/>
          <w:sz w:val="20"/>
        </w:rPr>
        <w:t>5.6 Resiliência</w:t>
      </w:r>
    </w:p>
    <w:p>
      <w:pPr>
        <w:spacing w:after="0"/>
        <w:ind w:left="1134"/>
      </w:pPr>
      <w:r>
        <w:rPr>
          <w:b w:val="0"/>
          <w:i w:val="0"/>
          <w:sz w:val="20"/>
        </w:rPr>
        <w:t>5.6.1 Padrões de falha aplicados</w:t>
      </w:r>
    </w:p>
    <w:p>
      <w:pPr>
        <w:spacing w:after="0"/>
        <w:ind w:left="1134"/>
      </w:pPr>
      <w:r>
        <w:rPr>
          <w:b w:val="0"/>
          <w:i w:val="0"/>
          <w:sz w:val="20"/>
        </w:rPr>
        <w:t>5.6.2 Fluxo de compensação (ligação com o Saga da seção 3)</w:t>
      </w:r>
    </w:p>
    <w:p>
      <w:pPr>
        <w:spacing w:after="0"/>
        <w:ind w:left="1134"/>
      </w:pPr>
      <w:r>
        <w:rPr>
          <w:b w:val="0"/>
          <w:i w:val="0"/>
          <w:sz w:val="20"/>
        </w:rPr>
        <w:t>5.6.3 Continuidade e deploy</w:t>
      </w:r>
    </w:p>
    <w:p>
      <w:pPr>
        <w:spacing w:after="0"/>
        <w:ind w:left="794"/>
      </w:pPr>
      <w:r>
        <w:rPr>
          <w:b w:val="0"/>
          <w:i w:val="0"/>
          <w:sz w:val="20"/>
        </w:rPr>
        <w:t>5.7 Observabilidade</w:t>
      </w:r>
    </w:p>
    <w:p>
      <w:pPr>
        <w:spacing w:after="0"/>
        <w:ind w:left="794"/>
      </w:pPr>
      <w:r>
        <w:rPr>
          <w:b w:val="0"/>
          <w:i w:val="0"/>
          <w:sz w:val="20"/>
        </w:rPr>
        <w:t>5.8 Segurança da informação, segredos e LGPD</w:t>
      </w:r>
    </w:p>
    <w:p>
      <w:pPr>
        <w:spacing w:after="0"/>
        <w:ind w:left="1134"/>
      </w:pPr>
      <w:r>
        <w:rPr>
          <w:b w:val="0"/>
          <w:i w:val="0"/>
          <w:sz w:val="20"/>
        </w:rPr>
        <w:t>5.8.1 Gestão de segredos</w:t>
      </w:r>
    </w:p>
    <w:p>
      <w:pPr>
        <w:spacing w:after="0"/>
        <w:ind w:left="1134"/>
      </w:pPr>
      <w:r>
        <w:rPr>
          <w:b w:val="0"/>
          <w:i w:val="0"/>
          <w:sz w:val="20"/>
        </w:rPr>
        <w:t>5.8.2 LGPD</w:t>
      </w:r>
    </w:p>
    <w:p>
      <w:pPr>
        <w:spacing w:after="0"/>
        <w:ind w:left="1134"/>
      </w:pPr>
      <w:r>
        <w:rPr>
          <w:b w:val="0"/>
          <w:i w:val="0"/>
          <w:sz w:val="20"/>
        </w:rPr>
        <w:t>5.8.3 Privacidade desde a concepção</w:t>
      </w:r>
    </w:p>
    <w:p>
      <w:pPr>
        <w:spacing w:after="0"/>
        <w:ind w:left="794"/>
      </w:pPr>
      <w:r>
        <w:rPr>
          <w:b w:val="0"/>
          <w:i w:val="0"/>
          <w:sz w:val="20"/>
        </w:rPr>
        <w:t>5.9 Governança</w:t>
      </w:r>
    </w:p>
    <w:p>
      <w:pPr>
        <w:spacing w:after="0"/>
        <w:ind w:left="1134"/>
      </w:pPr>
      <w:r>
        <w:rPr>
          <w:b w:val="0"/>
          <w:i w:val="0"/>
          <w:sz w:val="20"/>
        </w:rPr>
        <w:t>5.9.1 Contrato como fonte da verdade</w:t>
      </w:r>
    </w:p>
    <w:p>
      <w:pPr>
        <w:spacing w:after="0"/>
        <w:ind w:left="1134"/>
      </w:pPr>
      <w:r>
        <w:rPr>
          <w:b w:val="0"/>
          <w:i w:val="0"/>
          <w:sz w:val="20"/>
        </w:rPr>
        <w:t>5.9.2 Versionamento e depreciação</w:t>
      </w:r>
    </w:p>
    <w:p>
      <w:pPr>
        <w:spacing w:after="0"/>
        <w:ind w:left="1134"/>
      </w:pPr>
      <w:r>
        <w:rPr>
          <w:b w:val="0"/>
          <w:i w:val="0"/>
          <w:sz w:val="20"/>
        </w:rPr>
        <w:t>5.9.3 Catálogo de serviços e papéis de nome</w:t>
      </w:r>
    </w:p>
    <w:p>
      <w:pPr>
        <w:spacing w:after="0"/>
        <w:ind w:left="1134"/>
      </w:pPr>
      <w:r>
        <w:rPr>
          <w:b w:val="0"/>
          <w:i w:val="0"/>
          <w:sz w:val="20"/>
        </w:rPr>
        <w:t>5.9.4 ADRs — Architecture Decision Records</w:t>
      </w:r>
    </w:p>
    <w:p>
      <w:pPr>
        <w:spacing w:after="0"/>
        <w:ind w:left="794"/>
      </w:pPr>
      <w:r>
        <w:rPr>
          <w:b w:val="0"/>
          <w:i w:val="0"/>
          <w:sz w:val="20"/>
        </w:rPr>
        <w:t>5.10 Riscos residuais e pendências</w:t>
      </w:r>
    </w:p>
    <w:p>
      <w:pPr>
        <w:spacing w:after="0"/>
        <w:ind w:left="794"/>
      </w:pPr>
      <w:r>
        <w:rPr>
          <w:b w:val="0"/>
          <w:i w:val="0"/>
          <w:sz w:val="20"/>
        </w:rPr>
        <w:t>5.11 Fechamento</w:t>
      </w:r>
    </w:p>
    <w:p>
      <w:pPr>
        <w:spacing w:after="40"/>
      </w:pPr>
      <w:r>
        <w:rPr>
          <w:b/>
          <w:i w:val="0"/>
          <w:sz w:val="22"/>
        </w:rPr>
        <w:t>Apêndice A — Divisão de tarefas</w:t>
      </w:r>
    </w:p>
    <w:p>
      <w:pPr>
        <w:spacing w:after="40"/>
      </w:pPr>
      <w:r>
        <w:rPr>
          <w:b/>
          <w:i w:val="0"/>
          <w:sz w:val="22"/>
        </w:rPr>
        <w:t>Apêndice B — Registro de revisão consolidado</w:t>
      </w:r>
    </w:p>
    <w:p>
      <w:pPr>
        <w:spacing w:after="40"/>
      </w:pPr>
      <w:r>
        <w:rPr>
          <w:b/>
          <w:i w:val="0"/>
          <w:sz w:val="22"/>
        </w:rPr>
        <w:t>Apêndice C — Como regenerar as figuras</w:t>
      </w:r>
    </w:p>
    <w:p>
      <w:pPr>
        <w:spacing w:after="40"/>
      </w:pPr>
      <w:r>
        <w:rPr>
          <w:b/>
          <w:i w:val="0"/>
          <w:sz w:val="22"/>
        </w:rPr>
        <w:t>Apêndice D — Premissas adotadas e decisões registradas</w:t>
      </w:r>
    </w:p>
    <w:p>
      <w:pPr>
        <w:sectPr>
          <w:pgSz w:w="11906" w:h="16838"/>
          <w:pgMar w:top="1134" w:right="1134" w:bottom="1134" w:left="1417" w:header="720" w:footer="720" w:gutter="0"/>
          <w:cols w:space="720"/>
          <w:docGrid w:linePitch="360"/>
        </w:sectPr>
      </w:pPr>
    </w:p>
    <w:p>
      <w:pPr>
        <w:pStyle w:val="Heading1"/>
      </w:pPr>
      <w:r>
        <w:rPr>
          <w:b w:val="0"/>
          <w:i w:val="0"/>
          <w:sz w:val="22"/>
        </w:rPr>
        <w:t>1. Identificação dos Microsserviços e Fronteiras de Domínio</w:t>
      </w:r>
    </w:p>
    <w:p>
      <w:r>
        <w:rPr>
          <w:b w:val="0"/>
          <w:i/>
          <w:color w:val="595959"/>
          <w:sz w:val="19"/>
        </w:rPr>
        <w:t>Responsável: Roger Viana Gonçalves de Alencar — RM 97540 · Período: 16/09/2026 a 21/09/2026 (congelamento) · Versão 1.1, com revisão de consolidação de 22/09/2026</w:t>
      </w:r>
    </w:p>
    <w:p>
      <w:pPr>
        <w:pStyle w:val="Heading2"/>
      </w:pPr>
      <w:r>
        <w:rPr>
          <w:b w:val="0"/>
          <w:i w:val="0"/>
          <w:sz w:val="22"/>
        </w:rPr>
        <w:t>1.1 Serviços candidatos a microsserviço</w:t>
      </w:r>
    </w:p>
    <w:p>
      <w:r>
        <w:rPr>
          <w:b w:val="0"/>
          <w:i w:val="0"/>
          <w:sz w:val="22"/>
        </w:rPr>
        <w:t xml:space="preserve">O ponto de partida foi o que já existe no repositório do grupo: a API .NET de estoque, com as entidades </w:t>
      </w:r>
      <w:r>
        <w:rPr>
          <w:rFonts w:ascii="Consolas" w:hAnsi="Consolas"/>
          <w:b w:val="0"/>
          <w:i w:val="0"/>
          <w:color w:val="8B1A3A"/>
          <w:sz w:val="21"/>
        </w:rPr>
        <w:t>Vinho</w:t>
      </w:r>
      <w:r>
        <w:rPr>
          <w:b w:val="0"/>
          <w:i w:val="0"/>
          <w:sz w:val="22"/>
        </w:rPr>
        <w:t xml:space="preserve">, </w:t>
      </w:r>
      <w:r>
        <w:rPr>
          <w:rFonts w:ascii="Consolas" w:hAnsi="Consolas"/>
          <w:b w:val="0"/>
          <w:i w:val="0"/>
          <w:color w:val="8B1A3A"/>
          <w:sz w:val="21"/>
        </w:rPr>
        <w:t>Lote</w:t>
      </w:r>
      <w:r>
        <w:rPr>
          <w:b w:val="0"/>
          <w:i w:val="0"/>
          <w:sz w:val="22"/>
        </w:rPr>
        <w:t xml:space="preserve">, </w:t>
      </w:r>
      <w:r>
        <w:rPr>
          <w:rFonts w:ascii="Consolas" w:hAnsi="Consolas"/>
          <w:b w:val="0"/>
          <w:i w:val="0"/>
          <w:color w:val="8B1A3A"/>
          <w:sz w:val="21"/>
        </w:rPr>
        <w:t>Fornecedor</w:t>
      </w:r>
      <w:r>
        <w:rPr>
          <w:b w:val="0"/>
          <w:i w:val="0"/>
          <w:sz w:val="22"/>
        </w:rPr>
        <w:t xml:space="preserve">, </w:t>
      </w:r>
      <w:r>
        <w:rPr>
          <w:rFonts w:ascii="Consolas" w:hAnsi="Consolas"/>
          <w:b w:val="0"/>
          <w:i w:val="0"/>
          <w:color w:val="8B1A3A"/>
          <w:sz w:val="21"/>
        </w:rPr>
        <w:t>Categoria</w:t>
      </w:r>
      <w:r>
        <w:rPr>
          <w:b w:val="0"/>
          <w:i w:val="0"/>
          <w:sz w:val="22"/>
        </w:rPr>
        <w:t xml:space="preserve"> e </w:t>
      </w:r>
      <w:r>
        <w:rPr>
          <w:rFonts w:ascii="Consolas" w:hAnsi="Consolas"/>
          <w:b w:val="0"/>
          <w:i w:val="0"/>
          <w:color w:val="8B1A3A"/>
          <w:sz w:val="21"/>
        </w:rPr>
        <w:t>TransacaoEstoque</w:t>
      </w:r>
      <w:r>
        <w:rPr>
          <w:b w:val="0"/>
          <w:i w:val="0"/>
          <w:sz w:val="22"/>
        </w:rPr>
        <w:t xml:space="preserve">; o monolito em JSP/Servlet; o app Android com Room; a cadeia Arduino, MQTT e Node-RED; e o par CSV com dashboard no Tableau. A partir disso chegamos a 12 serviços: </w:t>
      </w:r>
      <w:r>
        <w:rPr>
          <w:b/>
          <w:i w:val="0"/>
          <w:sz w:val="22"/>
        </w:rPr>
        <w:t>9 de núcleo</w:t>
      </w:r>
      <w:r>
        <w:rPr>
          <w:b w:val="0"/>
          <w:i w:val="0"/>
          <w:sz w:val="22"/>
        </w:rPr>
        <w:t xml:space="preserve">, que cobrem a cadeia de valor da vinícola do início ao fim, e </w:t>
      </w:r>
      <w:r>
        <w:rPr>
          <w:b/>
          <w:i w:val="0"/>
          <w:sz w:val="22"/>
        </w:rPr>
        <w:t>3 satélites</w:t>
      </w:r>
      <w:r>
        <w:rPr>
          <w:b w:val="0"/>
          <w:i w:val="0"/>
          <w:sz w:val="22"/>
        </w:rPr>
        <w:t xml:space="preserve"> — identidade, notificações e analytics — que dão suporte a todos os domínios sem pertencer a nenhum deles em particular.</w:t>
      </w:r>
    </w:p>
    <w:p>
      <w:pPr>
        <w:keepNext/>
        <w:spacing w:after="60" w:before="0"/>
        <w:jc w:val="left"/>
      </w:pPr>
      <w:r>
        <w:rPr>
          <w:b w:val="0"/>
          <w:i/>
          <w:color w:val="595959"/>
          <w:sz w:val="19"/>
        </w:rPr>
        <w:t>Tabela 1 — Serviços candidatos a microsserviço: responsabilidade única, dados e consumidores</w:t>
      </w:r>
    </w:p>
    <w:tbl>
      <w:tblPr>
        <w:tblStyle w:val="TableGrid"/>
        <w:tblW w:type="auto" w:w="0"/>
        <w:jc w:val="center"/>
        <w:tblLayout w:type="fixed"/>
        <w:tblLook w:firstColumn="1" w:firstRow="1" w:lastColumn="0" w:lastRow="0" w:noHBand="0" w:noVBand="1" w:val="04A0"/>
      </w:tblPr>
      <w:tblGrid>
        <w:gridCol w:w="1871"/>
        <w:gridCol w:w="1871"/>
        <w:gridCol w:w="1871"/>
        <w:gridCol w:w="1871"/>
        <w:gridCol w:w="1871"/>
      </w:tblGrid>
      <w:tr>
        <w:trPr>
          <w:tblHeader w:val="true"/>
        </w:trPr>
        <w:tc>
          <w:tcPr>
            <w:tcW w:type="dxa" w:w="1247"/>
            <w:shd w:val="clear" w:fill="F4E7EB"/>
          </w:tcPr>
          <w:p>
            <w:pPr>
              <w:spacing w:after="0"/>
              <w:jc w:val="left"/>
            </w:pPr>
            <w:r>
              <w:rPr>
                <w:b/>
              </w:rPr>
            </w:r>
            <w:r>
              <w:rPr>
                <w:b/>
                <w:i w:val="0"/>
                <w:sz w:val="16"/>
              </w:rPr>
              <w:t>Serviço</w:t>
            </w:r>
          </w:p>
        </w:tc>
        <w:tc>
          <w:tcPr>
            <w:tcW w:type="dxa" w:w="1020"/>
            <w:shd w:val="clear" w:fill="F4E7EB"/>
          </w:tcPr>
          <w:p>
            <w:pPr>
              <w:spacing w:after="0"/>
              <w:jc w:val="left"/>
            </w:pPr>
            <w:r>
              <w:rPr>
                <w:b/>
              </w:rPr>
            </w:r>
            <w:r>
              <w:rPr>
                <w:b/>
                <w:i w:val="0"/>
                <w:sz w:val="16"/>
              </w:rPr>
              <w:t>Classificação</w:t>
            </w:r>
          </w:p>
        </w:tc>
        <w:tc>
          <w:tcPr>
            <w:tcW w:type="dxa" w:w="2835"/>
            <w:shd w:val="clear" w:fill="F4E7EB"/>
          </w:tcPr>
          <w:p>
            <w:pPr>
              <w:spacing w:after="0"/>
              <w:jc w:val="left"/>
            </w:pPr>
            <w:r>
              <w:rPr>
                <w:b/>
              </w:rPr>
            </w:r>
            <w:r>
              <w:rPr>
                <w:b/>
                <w:i w:val="0"/>
                <w:sz w:val="16"/>
              </w:rPr>
              <w:t>Responsabilidade única</w:t>
            </w:r>
          </w:p>
        </w:tc>
        <w:tc>
          <w:tcPr>
            <w:tcW w:type="dxa" w:w="2721"/>
            <w:shd w:val="clear" w:fill="F4E7EB"/>
          </w:tcPr>
          <w:p>
            <w:pPr>
              <w:spacing w:after="0"/>
              <w:jc w:val="left"/>
            </w:pPr>
            <w:r>
              <w:rPr>
                <w:b/>
              </w:rPr>
            </w:r>
            <w:r>
              <w:rPr>
                <w:b/>
                <w:i w:val="0"/>
                <w:sz w:val="16"/>
              </w:rPr>
              <w:t>Dados dos quais é dono</w:t>
            </w:r>
          </w:p>
        </w:tc>
        <w:tc>
          <w:tcPr>
            <w:tcW w:type="dxa" w:w="1814"/>
            <w:shd w:val="clear" w:fill="F4E7EB"/>
          </w:tcPr>
          <w:p>
            <w:pPr>
              <w:spacing w:after="0"/>
              <w:jc w:val="left"/>
            </w:pPr>
            <w:r>
              <w:rPr>
                <w:b/>
              </w:rPr>
            </w:r>
            <w:r>
              <w:rPr>
                <w:b/>
                <w:i w:val="0"/>
                <w:sz w:val="16"/>
              </w:rPr>
              <w:t>Quem consome</w:t>
            </w:r>
          </w:p>
        </w:tc>
      </w:tr>
      <w:tr>
        <w:tc>
          <w:tcPr>
            <w:tcW w:type="dxa" w:w="1247"/>
          </w:tcPr>
          <w:p>
            <w:pPr>
              <w:spacing w:after="0" w:line="240" w:lineRule="auto"/>
              <w:jc w:val="left"/>
            </w:pPr>
            <w:r/>
            <w:r>
              <w:rPr>
                <w:rFonts w:ascii="Consolas" w:hAnsi="Consolas"/>
                <w:b w:val="0"/>
                <w:i w:val="0"/>
                <w:color w:val="8B1A3A"/>
                <w:sz w:val="15"/>
              </w:rPr>
              <w:t>ms-catalogo</w:t>
            </w:r>
          </w:p>
        </w:tc>
        <w:tc>
          <w:tcPr>
            <w:tcW w:type="dxa" w:w="1020"/>
          </w:tcPr>
          <w:p>
            <w:pPr>
              <w:spacing w:after="0" w:line="240" w:lineRule="auto"/>
              <w:jc w:val="left"/>
            </w:pPr>
            <w:r/>
            <w:r>
              <w:rPr>
                <w:b w:val="0"/>
                <w:i w:val="0"/>
                <w:sz w:val="16"/>
              </w:rPr>
              <w:t>Núcleo</w:t>
            </w:r>
          </w:p>
        </w:tc>
        <w:tc>
          <w:tcPr>
            <w:tcW w:type="dxa" w:w="2835"/>
          </w:tcPr>
          <w:p>
            <w:pPr>
              <w:spacing w:after="0" w:line="240" w:lineRule="auto"/>
              <w:jc w:val="left"/>
            </w:pPr>
            <w:r/>
            <w:r>
              <w:rPr>
                <w:b w:val="0"/>
                <w:i w:val="0"/>
                <w:sz w:val="16"/>
              </w:rPr>
              <w:t>Expor e manter o catálogo de vinhos, categorias e fichas de harmonização para os canais de venda.</w:t>
            </w:r>
          </w:p>
        </w:tc>
        <w:tc>
          <w:tcPr>
            <w:tcW w:type="dxa" w:w="2721"/>
          </w:tcPr>
          <w:p>
            <w:pPr>
              <w:spacing w:after="0" w:line="240" w:lineRule="auto"/>
              <w:jc w:val="left"/>
            </w:pPr>
            <w:r/>
            <w:r>
              <w:rPr>
                <w:b w:val="0"/>
                <w:i w:val="0"/>
                <w:sz w:val="16"/>
              </w:rPr>
              <w:t>Vinho (ficha comercial, teor, mídia) · Categoria · Regra de Harmonização</w:t>
            </w:r>
          </w:p>
        </w:tc>
        <w:tc>
          <w:tcPr>
            <w:tcW w:type="dxa" w:w="1814"/>
          </w:tcPr>
          <w:p>
            <w:pPr>
              <w:spacing w:after="0" w:line="240" w:lineRule="auto"/>
              <w:jc w:val="left"/>
            </w:pPr>
            <w:r/>
            <w:r>
              <w:rPr>
                <w:rFonts w:ascii="Consolas" w:hAnsi="Consolas"/>
                <w:b w:val="0"/>
                <w:i w:val="0"/>
                <w:color w:val="8B1A3A"/>
                <w:sz w:val="15"/>
              </w:rPr>
              <w:t>ms-pedidos</w:t>
            </w:r>
            <w:r>
              <w:rPr>
                <w:b w:val="0"/>
                <w:i w:val="0"/>
                <w:sz w:val="16"/>
              </w:rPr>
              <w:t xml:space="preserve"> · Web / App (canais) · </w:t>
            </w:r>
            <w:r>
              <w:rPr>
                <w:rFonts w:ascii="Consolas" w:hAnsi="Consolas"/>
                <w:b w:val="0"/>
                <w:i w:val="0"/>
                <w:color w:val="8B1A3A"/>
                <w:sz w:val="15"/>
              </w:rPr>
              <w:t>ms-analytics</w:t>
            </w:r>
          </w:p>
        </w:tc>
      </w:tr>
      <w:tr>
        <w:tc>
          <w:tcPr>
            <w:tcW w:type="dxa" w:w="1247"/>
          </w:tcPr>
          <w:p>
            <w:pPr>
              <w:spacing w:after="0" w:line="240" w:lineRule="auto"/>
              <w:jc w:val="left"/>
            </w:pPr>
            <w:r/>
            <w:r>
              <w:rPr>
                <w:rFonts w:ascii="Consolas" w:hAnsi="Consolas"/>
                <w:b w:val="0"/>
                <w:i w:val="0"/>
                <w:color w:val="8B1A3A"/>
                <w:sz w:val="15"/>
              </w:rPr>
              <w:t>ms-producao</w:t>
            </w:r>
          </w:p>
        </w:tc>
        <w:tc>
          <w:tcPr>
            <w:tcW w:type="dxa" w:w="1020"/>
          </w:tcPr>
          <w:p>
            <w:pPr>
              <w:spacing w:after="0" w:line="240" w:lineRule="auto"/>
              <w:jc w:val="left"/>
            </w:pPr>
            <w:r/>
            <w:r>
              <w:rPr>
                <w:b w:val="0"/>
                <w:i w:val="0"/>
                <w:sz w:val="16"/>
              </w:rPr>
              <w:t>Núcleo</w:t>
            </w:r>
          </w:p>
        </w:tc>
        <w:tc>
          <w:tcPr>
            <w:tcW w:type="dxa" w:w="2835"/>
          </w:tcPr>
          <w:p>
            <w:pPr>
              <w:spacing w:after="0" w:line="240" w:lineRule="auto"/>
              <w:jc w:val="left"/>
            </w:pPr>
            <w:r/>
            <w:r>
              <w:rPr>
                <w:b w:val="0"/>
                <w:i w:val="0"/>
                <w:sz w:val="16"/>
              </w:rPr>
              <w:t>Registrar o ciclo produtivo do vinho, da colheita à fermentação e armazenagem, por safra.</w:t>
            </w:r>
          </w:p>
        </w:tc>
        <w:tc>
          <w:tcPr>
            <w:tcW w:type="dxa" w:w="2721"/>
          </w:tcPr>
          <w:p>
            <w:pPr>
              <w:spacing w:after="0" w:line="240" w:lineRule="auto"/>
              <w:jc w:val="left"/>
            </w:pPr>
            <w:r/>
            <w:r>
              <w:rPr>
                <w:b w:val="0"/>
                <w:i w:val="0"/>
                <w:sz w:val="16"/>
              </w:rPr>
              <w:t>Safra · Colheita · Fermentação · Armazenagem</w:t>
            </w:r>
          </w:p>
        </w:tc>
        <w:tc>
          <w:tcPr>
            <w:tcW w:type="dxa" w:w="1814"/>
          </w:tcPr>
          <w:p>
            <w:pPr>
              <w:spacing w:after="0" w:line="240" w:lineRule="auto"/>
              <w:jc w:val="left"/>
            </w:pPr>
            <w:r/>
            <w:r>
              <w:rPr>
                <w:rFonts w:ascii="Consolas" w:hAnsi="Consolas"/>
                <w:b w:val="0"/>
                <w:i w:val="0"/>
                <w:color w:val="8B1A3A"/>
                <w:sz w:val="15"/>
              </w:rPr>
              <w:t>ms-lotes</w:t>
            </w:r>
            <w:r>
              <w:rPr>
                <w:b w:val="0"/>
                <w:i w:val="0"/>
                <w:sz w:val="16"/>
              </w:rPr>
              <w:t xml:space="preserve"> · </w:t>
            </w:r>
            <w:r>
              <w:rPr>
                <w:rFonts w:ascii="Consolas" w:hAnsi="Consolas"/>
                <w:b w:val="0"/>
                <w:i w:val="0"/>
                <w:color w:val="8B1A3A"/>
                <w:sz w:val="15"/>
              </w:rPr>
              <w:t>ms-qualidade</w:t>
            </w:r>
            <w:r>
              <w:rPr>
                <w:b w:val="0"/>
                <w:i w:val="0"/>
                <w:sz w:val="16"/>
              </w:rPr>
              <w:t xml:space="preserve"> · </w:t>
            </w:r>
            <w:r>
              <w:rPr>
                <w:rFonts w:ascii="Consolas" w:hAnsi="Consolas"/>
                <w:b w:val="0"/>
                <w:i w:val="0"/>
                <w:color w:val="8B1A3A"/>
                <w:sz w:val="15"/>
              </w:rPr>
              <w:t>ms-analytics</w:t>
            </w:r>
          </w:p>
        </w:tc>
      </w:tr>
      <w:tr>
        <w:tc>
          <w:tcPr>
            <w:tcW w:type="dxa" w:w="1247"/>
          </w:tcPr>
          <w:p>
            <w:pPr>
              <w:spacing w:after="0" w:line="240" w:lineRule="auto"/>
              <w:jc w:val="left"/>
            </w:pPr>
            <w:r/>
            <w:r>
              <w:rPr>
                <w:rFonts w:ascii="Consolas" w:hAnsi="Consolas"/>
                <w:b w:val="0"/>
                <w:i w:val="0"/>
                <w:color w:val="8B1A3A"/>
                <w:sz w:val="15"/>
              </w:rPr>
              <w:t>ms-lotes</w:t>
            </w:r>
          </w:p>
        </w:tc>
        <w:tc>
          <w:tcPr>
            <w:tcW w:type="dxa" w:w="1020"/>
          </w:tcPr>
          <w:p>
            <w:pPr>
              <w:spacing w:after="0" w:line="240" w:lineRule="auto"/>
              <w:jc w:val="left"/>
            </w:pPr>
            <w:r/>
            <w:r>
              <w:rPr>
                <w:b w:val="0"/>
                <w:i w:val="0"/>
                <w:sz w:val="16"/>
              </w:rPr>
              <w:t>Núcleo</w:t>
            </w:r>
          </w:p>
        </w:tc>
        <w:tc>
          <w:tcPr>
            <w:tcW w:type="dxa" w:w="2835"/>
          </w:tcPr>
          <w:p>
            <w:pPr>
              <w:spacing w:after="0" w:line="240" w:lineRule="auto"/>
              <w:jc w:val="left"/>
            </w:pPr>
            <w:r/>
            <w:r>
              <w:rPr>
                <w:b w:val="0"/>
                <w:i w:val="0"/>
                <w:sz w:val="16"/>
              </w:rPr>
              <w:t>Garantir a rastreabilidade individual de cada lote, do engarrafamento ao consumidor.</w:t>
            </w:r>
          </w:p>
        </w:tc>
        <w:tc>
          <w:tcPr>
            <w:tcW w:type="dxa" w:w="2721"/>
          </w:tcPr>
          <w:p>
            <w:pPr>
              <w:spacing w:after="0" w:line="240" w:lineRule="auto"/>
              <w:jc w:val="left"/>
            </w:pPr>
            <w:r/>
            <w:r>
              <w:rPr>
                <w:b w:val="0"/>
                <w:i w:val="0"/>
                <w:sz w:val="16"/>
              </w:rPr>
              <w:t>Lote · Genealogia do Lote · Código de Rastreio / QR · Histórico do lote</w:t>
            </w:r>
          </w:p>
        </w:tc>
        <w:tc>
          <w:tcPr>
            <w:tcW w:type="dxa" w:w="1814"/>
          </w:tcPr>
          <w:p>
            <w:pPr>
              <w:spacing w:after="0" w:line="240" w:lineRule="auto"/>
              <w:jc w:val="left"/>
            </w:pPr>
            <w:r/>
            <w:r>
              <w:rPr>
                <w:rFonts w:ascii="Consolas" w:hAnsi="Consolas"/>
                <w:b w:val="0"/>
                <w:i w:val="0"/>
                <w:color w:val="8B1A3A"/>
                <w:sz w:val="15"/>
              </w:rPr>
              <w:t>ms-estoque</w:t>
            </w:r>
            <w:r>
              <w:rPr>
                <w:b w:val="0"/>
                <w:i w:val="0"/>
                <w:sz w:val="16"/>
              </w:rPr>
              <w:t xml:space="preserve"> · </w:t>
            </w:r>
            <w:r>
              <w:rPr>
                <w:rFonts w:ascii="Consolas" w:hAnsi="Consolas"/>
                <w:b w:val="0"/>
                <w:i w:val="0"/>
                <w:color w:val="8B1A3A"/>
                <w:sz w:val="15"/>
              </w:rPr>
              <w:t>ms-catalogo</w:t>
            </w:r>
            <w:r>
              <w:rPr>
                <w:b w:val="0"/>
                <w:i w:val="0"/>
                <w:sz w:val="16"/>
              </w:rPr>
              <w:t xml:space="preserve"> · </w:t>
            </w:r>
            <w:r>
              <w:rPr>
                <w:rFonts w:ascii="Consolas" w:hAnsi="Consolas"/>
                <w:b w:val="0"/>
                <w:i w:val="0"/>
                <w:color w:val="8B1A3A"/>
                <w:sz w:val="15"/>
              </w:rPr>
              <w:t>ms-qualidade</w:t>
            </w:r>
            <w:r>
              <w:rPr>
                <w:b w:val="0"/>
                <w:i w:val="0"/>
                <w:sz w:val="16"/>
              </w:rPr>
              <w:t xml:space="preserve"> · App do consumidor</w:t>
            </w:r>
          </w:p>
        </w:tc>
      </w:tr>
      <w:tr>
        <w:tc>
          <w:tcPr>
            <w:tcW w:type="dxa" w:w="1247"/>
          </w:tcPr>
          <w:p>
            <w:pPr>
              <w:spacing w:after="0" w:line="240" w:lineRule="auto"/>
              <w:jc w:val="left"/>
            </w:pPr>
            <w:r/>
            <w:r>
              <w:rPr>
                <w:rFonts w:ascii="Consolas" w:hAnsi="Consolas"/>
                <w:b w:val="0"/>
                <w:i w:val="0"/>
                <w:color w:val="8B1A3A"/>
                <w:sz w:val="15"/>
              </w:rPr>
              <w:t>ms-estoque</w:t>
            </w:r>
          </w:p>
        </w:tc>
        <w:tc>
          <w:tcPr>
            <w:tcW w:type="dxa" w:w="1020"/>
          </w:tcPr>
          <w:p>
            <w:pPr>
              <w:spacing w:after="0" w:line="240" w:lineRule="auto"/>
              <w:jc w:val="left"/>
            </w:pPr>
            <w:r/>
            <w:r>
              <w:rPr>
                <w:b w:val="0"/>
                <w:i w:val="0"/>
                <w:sz w:val="16"/>
              </w:rPr>
              <w:t>Núcleo</w:t>
            </w:r>
          </w:p>
        </w:tc>
        <w:tc>
          <w:tcPr>
            <w:tcW w:type="dxa" w:w="2835"/>
          </w:tcPr>
          <w:p>
            <w:pPr>
              <w:spacing w:after="0" w:line="240" w:lineRule="auto"/>
              <w:jc w:val="left"/>
            </w:pPr>
            <w:r/>
            <w:r>
              <w:rPr>
                <w:b w:val="0"/>
                <w:i w:val="0"/>
                <w:sz w:val="16"/>
              </w:rPr>
              <w:t>Manter a posição de estoque em tempo real e registrar movimentações e reservas.</w:t>
            </w:r>
          </w:p>
        </w:tc>
        <w:tc>
          <w:tcPr>
            <w:tcW w:type="dxa" w:w="2721"/>
          </w:tcPr>
          <w:p>
            <w:pPr>
              <w:spacing w:after="0" w:line="240" w:lineRule="auto"/>
              <w:jc w:val="left"/>
            </w:pPr>
            <w:r/>
            <w:r>
              <w:rPr>
                <w:b w:val="0"/>
                <w:i w:val="0"/>
                <w:sz w:val="16"/>
              </w:rPr>
              <w:t>Posição de Estoque · MovimentacaoEstoque · Reserva</w:t>
            </w:r>
          </w:p>
        </w:tc>
        <w:tc>
          <w:tcPr>
            <w:tcW w:type="dxa" w:w="1814"/>
          </w:tcPr>
          <w:p>
            <w:pPr>
              <w:spacing w:after="0" w:line="240" w:lineRule="auto"/>
              <w:jc w:val="left"/>
            </w:pPr>
            <w:r/>
            <w:r>
              <w:rPr>
                <w:rFonts w:ascii="Consolas" w:hAnsi="Consolas"/>
                <w:b w:val="0"/>
                <w:i w:val="0"/>
                <w:color w:val="8B1A3A"/>
                <w:sz w:val="15"/>
              </w:rPr>
              <w:t>ms-pedidos</w:t>
            </w:r>
            <w:r>
              <w:rPr>
                <w:b w:val="0"/>
                <w:i w:val="0"/>
                <w:sz w:val="16"/>
              </w:rPr>
              <w:t xml:space="preserve"> · </w:t>
            </w:r>
            <w:r>
              <w:rPr>
                <w:rFonts w:ascii="Consolas" w:hAnsi="Consolas"/>
                <w:b w:val="0"/>
                <w:i w:val="0"/>
                <w:color w:val="8B1A3A"/>
                <w:sz w:val="15"/>
              </w:rPr>
              <w:t>ms-fornecedores</w:t>
            </w:r>
            <w:r>
              <w:rPr>
                <w:b w:val="0"/>
                <w:i w:val="0"/>
                <w:sz w:val="16"/>
              </w:rPr>
              <w:t xml:space="preserve"> · App mobile · </w:t>
            </w:r>
            <w:r>
              <w:rPr>
                <w:rFonts w:ascii="Consolas" w:hAnsi="Consolas"/>
                <w:b w:val="0"/>
                <w:i w:val="0"/>
                <w:color w:val="8B1A3A"/>
                <w:sz w:val="15"/>
              </w:rPr>
              <w:t>ms-analytics</w:t>
            </w:r>
          </w:p>
        </w:tc>
      </w:tr>
      <w:tr>
        <w:tc>
          <w:tcPr>
            <w:tcW w:type="dxa" w:w="1247"/>
          </w:tcPr>
          <w:p>
            <w:pPr>
              <w:spacing w:after="0" w:line="240" w:lineRule="auto"/>
              <w:jc w:val="left"/>
            </w:pPr>
            <w:r/>
            <w:r>
              <w:rPr>
                <w:rFonts w:ascii="Consolas" w:hAnsi="Consolas"/>
                <w:b w:val="0"/>
                <w:i w:val="0"/>
                <w:color w:val="8B1A3A"/>
                <w:sz w:val="15"/>
              </w:rPr>
              <w:t>ms-pedidos</w:t>
            </w:r>
          </w:p>
        </w:tc>
        <w:tc>
          <w:tcPr>
            <w:tcW w:type="dxa" w:w="1020"/>
          </w:tcPr>
          <w:p>
            <w:pPr>
              <w:spacing w:after="0" w:line="240" w:lineRule="auto"/>
              <w:jc w:val="left"/>
            </w:pPr>
            <w:r/>
            <w:r>
              <w:rPr>
                <w:b w:val="0"/>
                <w:i w:val="0"/>
                <w:sz w:val="16"/>
              </w:rPr>
              <w:t>Núcleo</w:t>
            </w:r>
          </w:p>
        </w:tc>
        <w:tc>
          <w:tcPr>
            <w:tcW w:type="dxa" w:w="2835"/>
          </w:tcPr>
          <w:p>
            <w:pPr>
              <w:spacing w:after="0" w:line="240" w:lineRule="auto"/>
              <w:jc w:val="left"/>
            </w:pPr>
            <w:r/>
            <w:r>
              <w:rPr>
                <w:b w:val="0"/>
                <w:i w:val="0"/>
                <w:sz w:val="16"/>
              </w:rPr>
              <w:t>Orquestrar o ciclo de vida do pedido, do carrinho à confirmação de entrega.</w:t>
            </w:r>
          </w:p>
        </w:tc>
        <w:tc>
          <w:tcPr>
            <w:tcW w:type="dxa" w:w="2721"/>
          </w:tcPr>
          <w:p>
            <w:pPr>
              <w:spacing w:after="0" w:line="240" w:lineRule="auto"/>
              <w:jc w:val="left"/>
            </w:pPr>
            <w:r/>
            <w:r>
              <w:rPr>
                <w:b w:val="0"/>
                <w:i w:val="0"/>
                <w:sz w:val="16"/>
              </w:rPr>
              <w:t>Carrinho · Pedido · Item do Pedido · Status de Separação / Entrega</w:t>
            </w:r>
          </w:p>
        </w:tc>
        <w:tc>
          <w:tcPr>
            <w:tcW w:type="dxa" w:w="1814"/>
          </w:tcPr>
          <w:p>
            <w:pPr>
              <w:spacing w:after="0" w:line="240" w:lineRule="auto"/>
              <w:jc w:val="left"/>
            </w:pPr>
            <w:r/>
            <w:r>
              <w:rPr>
                <w:rFonts w:ascii="Consolas" w:hAnsi="Consolas"/>
                <w:b w:val="0"/>
                <w:i w:val="0"/>
                <w:color w:val="8B1A3A"/>
                <w:sz w:val="15"/>
              </w:rPr>
              <w:t>ms-pagamentos</w:t>
            </w:r>
            <w:r>
              <w:rPr>
                <w:b w:val="0"/>
                <w:i w:val="0"/>
                <w:sz w:val="16"/>
              </w:rPr>
              <w:t xml:space="preserve"> · </w:t>
            </w:r>
            <w:r>
              <w:rPr>
                <w:rFonts w:ascii="Consolas" w:hAnsi="Consolas"/>
                <w:b w:val="0"/>
                <w:i w:val="0"/>
                <w:color w:val="8B1A3A"/>
                <w:sz w:val="15"/>
              </w:rPr>
              <w:t>ms-estoque</w:t>
            </w:r>
            <w:r>
              <w:rPr>
                <w:b w:val="0"/>
                <w:i w:val="0"/>
                <w:sz w:val="16"/>
              </w:rPr>
              <w:t xml:space="preserve"> · </w:t>
            </w:r>
            <w:r>
              <w:rPr>
                <w:rFonts w:ascii="Consolas" w:hAnsi="Consolas"/>
                <w:b w:val="0"/>
                <w:i w:val="0"/>
                <w:color w:val="8B1A3A"/>
                <w:sz w:val="15"/>
              </w:rPr>
              <w:t>ms-notificacoes</w:t>
            </w:r>
            <w:r>
              <w:rPr>
                <w:b w:val="0"/>
                <w:i w:val="0"/>
                <w:sz w:val="16"/>
              </w:rPr>
              <w:t xml:space="preserve"> · </w:t>
            </w:r>
            <w:r>
              <w:rPr>
                <w:rFonts w:ascii="Consolas" w:hAnsi="Consolas"/>
                <w:b w:val="0"/>
                <w:i w:val="0"/>
                <w:color w:val="8B1A3A"/>
                <w:sz w:val="15"/>
              </w:rPr>
              <w:t>ms-clientes</w:t>
            </w:r>
          </w:p>
        </w:tc>
      </w:tr>
      <w:tr>
        <w:tc>
          <w:tcPr>
            <w:tcW w:type="dxa" w:w="1247"/>
          </w:tcPr>
          <w:p>
            <w:pPr>
              <w:spacing w:after="0" w:line="240" w:lineRule="auto"/>
              <w:jc w:val="left"/>
            </w:pPr>
            <w:r/>
            <w:r>
              <w:rPr>
                <w:rFonts w:ascii="Consolas" w:hAnsi="Consolas"/>
                <w:b w:val="0"/>
                <w:i w:val="0"/>
                <w:color w:val="8B1A3A"/>
                <w:sz w:val="15"/>
              </w:rPr>
              <w:t>ms-fornecedores</w:t>
            </w:r>
          </w:p>
        </w:tc>
        <w:tc>
          <w:tcPr>
            <w:tcW w:type="dxa" w:w="1020"/>
          </w:tcPr>
          <w:p>
            <w:pPr>
              <w:spacing w:after="0" w:line="240" w:lineRule="auto"/>
              <w:jc w:val="left"/>
            </w:pPr>
            <w:r/>
            <w:r>
              <w:rPr>
                <w:b w:val="0"/>
                <w:i w:val="0"/>
                <w:sz w:val="16"/>
              </w:rPr>
              <w:t>Núcleo</w:t>
            </w:r>
          </w:p>
        </w:tc>
        <w:tc>
          <w:tcPr>
            <w:tcW w:type="dxa" w:w="2835"/>
          </w:tcPr>
          <w:p>
            <w:pPr>
              <w:spacing w:after="0" w:line="240" w:lineRule="auto"/>
              <w:jc w:val="left"/>
            </w:pPr>
            <w:r/>
            <w:r>
              <w:rPr>
                <w:b w:val="0"/>
                <w:i w:val="0"/>
                <w:sz w:val="16"/>
              </w:rPr>
              <w:t>Gerir o cadastro de fornecedores e o fluxo de compras e recebimento.</w:t>
            </w:r>
          </w:p>
        </w:tc>
        <w:tc>
          <w:tcPr>
            <w:tcW w:type="dxa" w:w="2721"/>
          </w:tcPr>
          <w:p>
            <w:pPr>
              <w:spacing w:after="0" w:line="240" w:lineRule="auto"/>
              <w:jc w:val="left"/>
            </w:pPr>
            <w:r/>
            <w:r>
              <w:rPr>
                <w:b w:val="0"/>
                <w:i w:val="0"/>
                <w:sz w:val="16"/>
              </w:rPr>
              <w:t>Fornecedor · PedidoCompra · Recebimento</w:t>
            </w:r>
          </w:p>
        </w:tc>
        <w:tc>
          <w:tcPr>
            <w:tcW w:type="dxa" w:w="1814"/>
          </w:tcPr>
          <w:p>
            <w:pPr>
              <w:spacing w:after="0" w:line="240" w:lineRule="auto"/>
              <w:jc w:val="left"/>
            </w:pPr>
            <w:r/>
            <w:r>
              <w:rPr>
                <w:rFonts w:ascii="Consolas" w:hAnsi="Consolas"/>
                <w:b w:val="0"/>
                <w:i w:val="0"/>
                <w:color w:val="8B1A3A"/>
                <w:sz w:val="15"/>
              </w:rPr>
              <w:t>ms-estoque</w:t>
            </w:r>
            <w:r>
              <w:rPr>
                <w:b w:val="0"/>
                <w:i w:val="0"/>
                <w:sz w:val="16"/>
              </w:rPr>
              <w:t xml:space="preserve"> · </w:t>
            </w:r>
            <w:r>
              <w:rPr>
                <w:rFonts w:ascii="Consolas" w:hAnsi="Consolas"/>
                <w:b w:val="0"/>
                <w:i w:val="0"/>
                <w:color w:val="8B1A3A"/>
                <w:sz w:val="15"/>
              </w:rPr>
              <w:t>ms-producao</w:t>
            </w:r>
            <w:r>
              <w:rPr>
                <w:b w:val="0"/>
                <w:i w:val="0"/>
                <w:sz w:val="16"/>
              </w:rPr>
              <w:t xml:space="preserve"> · </w:t>
            </w:r>
            <w:r>
              <w:rPr>
                <w:rFonts w:ascii="Consolas" w:hAnsi="Consolas"/>
                <w:b w:val="0"/>
                <w:i w:val="0"/>
                <w:color w:val="8B1A3A"/>
                <w:sz w:val="15"/>
              </w:rPr>
              <w:t>ms-analytics</w:t>
            </w:r>
          </w:p>
        </w:tc>
      </w:tr>
      <w:tr>
        <w:tc>
          <w:tcPr>
            <w:tcW w:type="dxa" w:w="1247"/>
          </w:tcPr>
          <w:p>
            <w:pPr>
              <w:spacing w:after="0" w:line="240" w:lineRule="auto"/>
              <w:jc w:val="left"/>
            </w:pPr>
            <w:r/>
            <w:r>
              <w:rPr>
                <w:rFonts w:ascii="Consolas" w:hAnsi="Consolas"/>
                <w:b w:val="0"/>
                <w:i w:val="0"/>
                <w:color w:val="8B1A3A"/>
                <w:sz w:val="15"/>
              </w:rPr>
              <w:t>ms-qualidade</w:t>
            </w:r>
          </w:p>
        </w:tc>
        <w:tc>
          <w:tcPr>
            <w:tcW w:type="dxa" w:w="1020"/>
          </w:tcPr>
          <w:p>
            <w:pPr>
              <w:spacing w:after="0" w:line="240" w:lineRule="auto"/>
              <w:jc w:val="left"/>
            </w:pPr>
            <w:r/>
            <w:r>
              <w:rPr>
                <w:b w:val="0"/>
                <w:i w:val="0"/>
                <w:sz w:val="16"/>
              </w:rPr>
              <w:t>Núcleo</w:t>
            </w:r>
          </w:p>
        </w:tc>
        <w:tc>
          <w:tcPr>
            <w:tcW w:type="dxa" w:w="2835"/>
          </w:tcPr>
          <w:p>
            <w:pPr>
              <w:spacing w:after="0" w:line="240" w:lineRule="auto"/>
              <w:jc w:val="left"/>
            </w:pPr>
            <w:r/>
            <w:r>
              <w:rPr>
                <w:b w:val="0"/>
                <w:i w:val="0"/>
                <w:sz w:val="16"/>
              </w:rPr>
              <w:t>Monitorar condições ambientais da adega e registrar análises e alertas.</w:t>
            </w:r>
          </w:p>
        </w:tc>
        <w:tc>
          <w:tcPr>
            <w:tcW w:type="dxa" w:w="2721"/>
          </w:tcPr>
          <w:p>
            <w:pPr>
              <w:spacing w:after="0" w:line="240" w:lineRule="auto"/>
              <w:jc w:val="left"/>
            </w:pPr>
            <w:r/>
            <w:r>
              <w:rPr>
                <w:b w:val="0"/>
                <w:i w:val="0"/>
                <w:sz w:val="16"/>
              </w:rPr>
              <w:t>Leitura de Temperatura / Umidade · Análise Laboratorial · Alerta</w:t>
            </w:r>
          </w:p>
        </w:tc>
        <w:tc>
          <w:tcPr>
            <w:tcW w:type="dxa" w:w="1814"/>
          </w:tcPr>
          <w:p>
            <w:pPr>
              <w:spacing w:after="0" w:line="240" w:lineRule="auto"/>
              <w:jc w:val="left"/>
            </w:pPr>
            <w:r/>
            <w:r>
              <w:rPr>
                <w:rFonts w:ascii="Consolas" w:hAnsi="Consolas"/>
                <w:b w:val="0"/>
                <w:i w:val="0"/>
                <w:color w:val="8B1A3A"/>
                <w:sz w:val="15"/>
              </w:rPr>
              <w:t>ms-estoque</w:t>
            </w:r>
            <w:r>
              <w:rPr>
                <w:b w:val="0"/>
                <w:i w:val="0"/>
                <w:sz w:val="16"/>
              </w:rPr>
              <w:t xml:space="preserve"> · </w:t>
            </w:r>
            <w:r>
              <w:rPr>
                <w:rFonts w:ascii="Consolas" w:hAnsi="Consolas"/>
                <w:b w:val="0"/>
                <w:i w:val="0"/>
                <w:color w:val="8B1A3A"/>
                <w:sz w:val="15"/>
              </w:rPr>
              <w:t>ms-producao</w:t>
            </w:r>
            <w:r>
              <w:rPr>
                <w:b w:val="0"/>
                <w:i w:val="0"/>
                <w:sz w:val="16"/>
              </w:rPr>
              <w:t xml:space="preserve"> · </w:t>
            </w:r>
            <w:r>
              <w:rPr>
                <w:rFonts w:ascii="Consolas" w:hAnsi="Consolas"/>
                <w:b w:val="0"/>
                <w:i w:val="0"/>
                <w:color w:val="8B1A3A"/>
                <w:sz w:val="15"/>
              </w:rPr>
              <w:t>ms-analytics</w:t>
            </w:r>
            <w:r>
              <w:rPr>
                <w:b w:val="0"/>
                <w:i w:val="0"/>
                <w:sz w:val="16"/>
              </w:rPr>
              <w:t xml:space="preserve"> · Painel operacional</w:t>
            </w:r>
          </w:p>
        </w:tc>
      </w:tr>
      <w:tr>
        <w:tc>
          <w:tcPr>
            <w:tcW w:type="dxa" w:w="1247"/>
          </w:tcPr>
          <w:p>
            <w:pPr>
              <w:spacing w:after="0" w:line="240" w:lineRule="auto"/>
              <w:jc w:val="left"/>
            </w:pPr>
            <w:r/>
            <w:r>
              <w:rPr>
                <w:rFonts w:ascii="Consolas" w:hAnsi="Consolas"/>
                <w:b w:val="0"/>
                <w:i w:val="0"/>
                <w:color w:val="8B1A3A"/>
                <w:sz w:val="15"/>
              </w:rPr>
              <w:t>ms-clientes</w:t>
            </w:r>
          </w:p>
        </w:tc>
        <w:tc>
          <w:tcPr>
            <w:tcW w:type="dxa" w:w="1020"/>
          </w:tcPr>
          <w:p>
            <w:pPr>
              <w:spacing w:after="0" w:line="240" w:lineRule="auto"/>
              <w:jc w:val="left"/>
            </w:pPr>
            <w:r/>
            <w:r>
              <w:rPr>
                <w:b w:val="0"/>
                <w:i w:val="0"/>
                <w:sz w:val="16"/>
              </w:rPr>
              <w:t>Núcleo</w:t>
            </w:r>
          </w:p>
        </w:tc>
        <w:tc>
          <w:tcPr>
            <w:tcW w:type="dxa" w:w="2835"/>
          </w:tcPr>
          <w:p>
            <w:pPr>
              <w:spacing w:after="0" w:line="240" w:lineRule="auto"/>
              <w:jc w:val="left"/>
            </w:pPr>
            <w:r/>
            <w:r>
              <w:rPr>
                <w:b w:val="0"/>
                <w:i w:val="0"/>
                <w:sz w:val="16"/>
              </w:rPr>
              <w:t>Manter cadastro, perfil e consentimento LGPD de cada cliente.</w:t>
            </w:r>
          </w:p>
        </w:tc>
        <w:tc>
          <w:tcPr>
            <w:tcW w:type="dxa" w:w="2721"/>
          </w:tcPr>
          <w:p>
            <w:pPr>
              <w:spacing w:after="0" w:line="240" w:lineRule="auto"/>
              <w:jc w:val="left"/>
            </w:pPr>
            <w:r/>
            <w:r>
              <w:rPr>
                <w:b w:val="0"/>
                <w:i w:val="0"/>
                <w:sz w:val="16"/>
              </w:rPr>
              <w:t>Cliente · Perfil · Consentimento LGPD</w:t>
            </w:r>
          </w:p>
        </w:tc>
        <w:tc>
          <w:tcPr>
            <w:tcW w:type="dxa" w:w="1814"/>
          </w:tcPr>
          <w:p>
            <w:pPr>
              <w:spacing w:after="0" w:line="240" w:lineRule="auto"/>
              <w:jc w:val="left"/>
            </w:pPr>
            <w:r/>
            <w:r>
              <w:rPr>
                <w:rFonts w:ascii="Consolas" w:hAnsi="Consolas"/>
                <w:b w:val="0"/>
                <w:i w:val="0"/>
                <w:color w:val="8B1A3A"/>
                <w:sz w:val="15"/>
              </w:rPr>
              <w:t>ms-pedidos</w:t>
            </w:r>
            <w:r>
              <w:rPr>
                <w:b w:val="0"/>
                <w:i w:val="0"/>
                <w:sz w:val="16"/>
              </w:rPr>
              <w:t xml:space="preserve"> · </w:t>
            </w:r>
            <w:r>
              <w:rPr>
                <w:rFonts w:ascii="Consolas" w:hAnsi="Consolas"/>
                <w:b w:val="0"/>
                <w:i w:val="0"/>
                <w:color w:val="8B1A3A"/>
                <w:sz w:val="15"/>
              </w:rPr>
              <w:t>ms-identidade</w:t>
            </w:r>
            <w:r>
              <w:rPr>
                <w:b w:val="0"/>
                <w:i w:val="0"/>
                <w:sz w:val="16"/>
              </w:rPr>
              <w:t xml:space="preserve"> · </w:t>
            </w:r>
            <w:r>
              <w:rPr>
                <w:rFonts w:ascii="Consolas" w:hAnsi="Consolas"/>
                <w:b w:val="0"/>
                <w:i w:val="0"/>
                <w:color w:val="8B1A3A"/>
                <w:sz w:val="15"/>
              </w:rPr>
              <w:t>ms-notificacoes</w:t>
            </w:r>
            <w:r>
              <w:rPr>
                <w:b w:val="0"/>
                <w:i w:val="0"/>
                <w:sz w:val="16"/>
              </w:rPr>
              <w:t xml:space="preserve"> · </w:t>
            </w:r>
            <w:r>
              <w:rPr>
                <w:rFonts w:ascii="Consolas" w:hAnsi="Consolas"/>
                <w:b w:val="0"/>
                <w:i w:val="0"/>
                <w:color w:val="8B1A3A"/>
                <w:sz w:val="15"/>
              </w:rPr>
              <w:t>ms-analytics</w:t>
            </w:r>
          </w:p>
        </w:tc>
      </w:tr>
      <w:tr>
        <w:tc>
          <w:tcPr>
            <w:tcW w:type="dxa" w:w="1247"/>
          </w:tcPr>
          <w:p>
            <w:pPr>
              <w:spacing w:after="0" w:line="240" w:lineRule="auto"/>
              <w:jc w:val="left"/>
            </w:pPr>
            <w:r/>
            <w:r>
              <w:rPr>
                <w:rFonts w:ascii="Consolas" w:hAnsi="Consolas"/>
                <w:b w:val="0"/>
                <w:i w:val="0"/>
                <w:color w:val="8B1A3A"/>
                <w:sz w:val="15"/>
              </w:rPr>
              <w:t>ms-pagamentos</w:t>
            </w:r>
          </w:p>
        </w:tc>
        <w:tc>
          <w:tcPr>
            <w:tcW w:type="dxa" w:w="1020"/>
          </w:tcPr>
          <w:p>
            <w:pPr>
              <w:spacing w:after="0" w:line="240" w:lineRule="auto"/>
              <w:jc w:val="left"/>
            </w:pPr>
            <w:r/>
            <w:r>
              <w:rPr>
                <w:b w:val="0"/>
                <w:i w:val="0"/>
                <w:sz w:val="16"/>
              </w:rPr>
              <w:t>Núcleo</w:t>
            </w:r>
          </w:p>
        </w:tc>
        <w:tc>
          <w:tcPr>
            <w:tcW w:type="dxa" w:w="2835"/>
          </w:tcPr>
          <w:p>
            <w:pPr>
              <w:spacing w:after="0" w:line="240" w:lineRule="auto"/>
              <w:jc w:val="left"/>
            </w:pPr>
            <w:r/>
            <w:r>
              <w:rPr>
                <w:b w:val="0"/>
                <w:i w:val="0"/>
                <w:sz w:val="16"/>
              </w:rPr>
              <w:t>Processar cobrança, conciliação financeira e estornos das vendas.</w:t>
            </w:r>
          </w:p>
        </w:tc>
        <w:tc>
          <w:tcPr>
            <w:tcW w:type="dxa" w:w="2721"/>
          </w:tcPr>
          <w:p>
            <w:pPr>
              <w:spacing w:after="0" w:line="240" w:lineRule="auto"/>
              <w:jc w:val="left"/>
            </w:pPr>
            <w:r/>
            <w:r>
              <w:rPr>
                <w:b w:val="0"/>
                <w:i w:val="0"/>
                <w:sz w:val="16"/>
              </w:rPr>
              <w:t>Cobrança · Transação · Conciliação · Estorno</w:t>
            </w:r>
          </w:p>
        </w:tc>
        <w:tc>
          <w:tcPr>
            <w:tcW w:type="dxa" w:w="1814"/>
          </w:tcPr>
          <w:p>
            <w:pPr>
              <w:spacing w:after="0" w:line="240" w:lineRule="auto"/>
              <w:jc w:val="left"/>
            </w:pPr>
            <w:r/>
            <w:r>
              <w:rPr>
                <w:rFonts w:ascii="Consolas" w:hAnsi="Consolas"/>
                <w:b w:val="0"/>
                <w:i w:val="0"/>
                <w:color w:val="8B1A3A"/>
                <w:sz w:val="15"/>
              </w:rPr>
              <w:t>ms-pedidos</w:t>
            </w:r>
            <w:r>
              <w:rPr>
                <w:b w:val="0"/>
                <w:i w:val="0"/>
                <w:sz w:val="16"/>
              </w:rPr>
              <w:t xml:space="preserve"> · </w:t>
            </w:r>
            <w:r>
              <w:rPr>
                <w:rFonts w:ascii="Consolas" w:hAnsi="Consolas"/>
                <w:b w:val="0"/>
                <w:i w:val="0"/>
                <w:color w:val="8B1A3A"/>
                <w:sz w:val="15"/>
              </w:rPr>
              <w:t>ms-analytics</w:t>
            </w:r>
            <w:r>
              <w:rPr>
                <w:b w:val="0"/>
                <w:i w:val="0"/>
                <w:sz w:val="16"/>
              </w:rPr>
              <w:t xml:space="preserve"> · </w:t>
            </w:r>
            <w:r>
              <w:rPr>
                <w:rFonts w:ascii="Consolas" w:hAnsi="Consolas"/>
                <w:b w:val="0"/>
                <w:i w:val="0"/>
                <w:color w:val="8B1A3A"/>
                <w:sz w:val="15"/>
              </w:rPr>
              <w:t>ms-notificacoes</w:t>
            </w:r>
          </w:p>
        </w:tc>
      </w:tr>
      <w:tr>
        <w:tc>
          <w:tcPr>
            <w:tcW w:type="dxa" w:w="1247"/>
          </w:tcPr>
          <w:p>
            <w:pPr>
              <w:spacing w:after="0" w:line="240" w:lineRule="auto"/>
              <w:jc w:val="left"/>
            </w:pPr>
            <w:r/>
            <w:r>
              <w:rPr>
                <w:rFonts w:ascii="Consolas" w:hAnsi="Consolas"/>
                <w:b w:val="0"/>
                <w:i w:val="0"/>
                <w:color w:val="8B1A3A"/>
                <w:sz w:val="15"/>
              </w:rPr>
              <w:t>ms-identidade</w:t>
            </w:r>
          </w:p>
        </w:tc>
        <w:tc>
          <w:tcPr>
            <w:tcW w:type="dxa" w:w="1020"/>
          </w:tcPr>
          <w:p>
            <w:pPr>
              <w:spacing w:after="0" w:line="240" w:lineRule="auto"/>
              <w:jc w:val="left"/>
            </w:pPr>
            <w:r/>
            <w:r>
              <w:rPr>
                <w:b w:val="0"/>
                <w:i w:val="0"/>
                <w:sz w:val="16"/>
              </w:rPr>
              <w:t>Satélite</w:t>
            </w:r>
          </w:p>
        </w:tc>
        <w:tc>
          <w:tcPr>
            <w:tcW w:type="dxa" w:w="2835"/>
          </w:tcPr>
          <w:p>
            <w:pPr>
              <w:spacing w:after="0" w:line="240" w:lineRule="auto"/>
              <w:jc w:val="left"/>
            </w:pPr>
            <w:r/>
            <w:r>
              <w:rPr>
                <w:b w:val="0"/>
                <w:i w:val="0"/>
                <w:sz w:val="16"/>
              </w:rPr>
              <w:t>Autenticar e autorizar usuários e serviços via OAuth2/OIDC e RBAC.</w:t>
            </w:r>
          </w:p>
        </w:tc>
        <w:tc>
          <w:tcPr>
            <w:tcW w:type="dxa" w:w="2721"/>
          </w:tcPr>
          <w:p>
            <w:pPr>
              <w:spacing w:after="0" w:line="240" w:lineRule="auto"/>
              <w:jc w:val="left"/>
            </w:pPr>
            <w:r/>
            <w:r>
              <w:rPr>
                <w:b w:val="0"/>
                <w:i w:val="0"/>
                <w:sz w:val="16"/>
              </w:rPr>
              <w:t>Usuário / Credencial · Papel / Permissão (RBAC) · Token / Sessão</w:t>
            </w:r>
          </w:p>
        </w:tc>
        <w:tc>
          <w:tcPr>
            <w:tcW w:type="dxa" w:w="1814"/>
          </w:tcPr>
          <w:p>
            <w:pPr>
              <w:spacing w:after="0" w:line="240" w:lineRule="auto"/>
              <w:jc w:val="left"/>
            </w:pPr>
            <w:r/>
            <w:r>
              <w:rPr>
                <w:rFonts w:ascii="Consolas" w:hAnsi="Consolas"/>
                <w:b w:val="0"/>
                <w:i w:val="0"/>
                <w:color w:val="8B1A3A"/>
                <w:sz w:val="15"/>
              </w:rPr>
              <w:t>ms-pedidos</w:t>
            </w:r>
            <w:r>
              <w:rPr>
                <w:b w:val="0"/>
                <w:i w:val="0"/>
                <w:sz w:val="16"/>
              </w:rPr>
              <w:t xml:space="preserve"> · </w:t>
            </w:r>
            <w:r>
              <w:rPr>
                <w:rFonts w:ascii="Consolas" w:hAnsi="Consolas"/>
                <w:b w:val="0"/>
                <w:i w:val="0"/>
                <w:color w:val="8B1A3A"/>
                <w:sz w:val="15"/>
              </w:rPr>
              <w:t>ms-clientes</w:t>
            </w:r>
            <w:r>
              <w:rPr>
                <w:b w:val="0"/>
                <w:i w:val="0"/>
                <w:sz w:val="16"/>
              </w:rPr>
              <w:t xml:space="preserve"> · </w:t>
            </w:r>
            <w:r>
              <w:rPr>
                <w:rFonts w:ascii="Consolas" w:hAnsi="Consolas"/>
                <w:b w:val="0"/>
                <w:i w:val="0"/>
                <w:color w:val="8B1A3A"/>
                <w:sz w:val="15"/>
              </w:rPr>
              <w:t>ms-fornecedores</w:t>
            </w:r>
            <w:r>
              <w:rPr>
                <w:b w:val="0"/>
                <w:i w:val="0"/>
                <w:sz w:val="16"/>
              </w:rPr>
              <w:t xml:space="preserve"> (painel) · App mobile</w:t>
            </w:r>
          </w:p>
        </w:tc>
      </w:tr>
      <w:tr>
        <w:tc>
          <w:tcPr>
            <w:tcW w:type="dxa" w:w="1247"/>
          </w:tcPr>
          <w:p>
            <w:pPr>
              <w:spacing w:after="0" w:line="240" w:lineRule="auto"/>
              <w:jc w:val="left"/>
            </w:pPr>
            <w:r/>
            <w:r>
              <w:rPr>
                <w:rFonts w:ascii="Consolas" w:hAnsi="Consolas"/>
                <w:b w:val="0"/>
                <w:i w:val="0"/>
                <w:color w:val="8B1A3A"/>
                <w:sz w:val="15"/>
              </w:rPr>
              <w:t>ms-notificacoes</w:t>
            </w:r>
          </w:p>
        </w:tc>
        <w:tc>
          <w:tcPr>
            <w:tcW w:type="dxa" w:w="1020"/>
          </w:tcPr>
          <w:p>
            <w:pPr>
              <w:spacing w:after="0" w:line="240" w:lineRule="auto"/>
              <w:jc w:val="left"/>
            </w:pPr>
            <w:r/>
            <w:r>
              <w:rPr>
                <w:b w:val="0"/>
                <w:i w:val="0"/>
                <w:sz w:val="16"/>
              </w:rPr>
              <w:t>Satélite</w:t>
            </w:r>
          </w:p>
        </w:tc>
        <w:tc>
          <w:tcPr>
            <w:tcW w:type="dxa" w:w="2835"/>
          </w:tcPr>
          <w:p>
            <w:pPr>
              <w:spacing w:after="0" w:line="240" w:lineRule="auto"/>
              <w:jc w:val="left"/>
            </w:pPr>
            <w:r/>
            <w:r>
              <w:rPr>
                <w:b w:val="0"/>
                <w:i w:val="0"/>
                <w:sz w:val="16"/>
              </w:rPr>
              <w:t>Disparar e rastrear comunicações por e-mail, WhatsApp e push.</w:t>
            </w:r>
          </w:p>
        </w:tc>
        <w:tc>
          <w:tcPr>
            <w:tcW w:type="dxa" w:w="2721"/>
          </w:tcPr>
          <w:p>
            <w:pPr>
              <w:spacing w:after="0" w:line="240" w:lineRule="auto"/>
              <w:jc w:val="left"/>
            </w:pPr>
            <w:r/>
            <w:r>
              <w:rPr>
                <w:b w:val="0"/>
                <w:i w:val="0"/>
                <w:sz w:val="16"/>
              </w:rPr>
              <w:t>Template de Mensagem · Envio (status) · Preferência de canal</w:t>
            </w:r>
          </w:p>
        </w:tc>
        <w:tc>
          <w:tcPr>
            <w:tcW w:type="dxa" w:w="1814"/>
          </w:tcPr>
          <w:p>
            <w:pPr>
              <w:spacing w:after="0" w:line="240" w:lineRule="auto"/>
              <w:jc w:val="left"/>
            </w:pPr>
            <w:r/>
            <w:r>
              <w:rPr>
                <w:rFonts w:ascii="Consolas" w:hAnsi="Consolas"/>
                <w:b w:val="0"/>
                <w:i w:val="0"/>
                <w:color w:val="8B1A3A"/>
                <w:sz w:val="15"/>
              </w:rPr>
              <w:t>ms-pedidos</w:t>
            </w:r>
            <w:r>
              <w:rPr>
                <w:b w:val="0"/>
                <w:i w:val="0"/>
                <w:sz w:val="16"/>
              </w:rPr>
              <w:t xml:space="preserve"> · </w:t>
            </w:r>
            <w:r>
              <w:rPr>
                <w:rFonts w:ascii="Consolas" w:hAnsi="Consolas"/>
                <w:b w:val="0"/>
                <w:i w:val="0"/>
                <w:color w:val="8B1A3A"/>
                <w:sz w:val="15"/>
              </w:rPr>
              <w:t>ms-qualidade</w:t>
            </w:r>
            <w:r>
              <w:rPr>
                <w:b w:val="0"/>
                <w:i w:val="0"/>
                <w:sz w:val="16"/>
              </w:rPr>
              <w:t xml:space="preserve"> · </w:t>
            </w:r>
            <w:r>
              <w:rPr>
                <w:rFonts w:ascii="Consolas" w:hAnsi="Consolas"/>
                <w:b w:val="0"/>
                <w:i w:val="0"/>
                <w:color w:val="8B1A3A"/>
                <w:sz w:val="15"/>
              </w:rPr>
              <w:t>ms-pagamentos</w:t>
            </w:r>
            <w:r>
              <w:rPr>
                <w:b w:val="0"/>
                <w:i w:val="0"/>
                <w:sz w:val="16"/>
              </w:rPr>
              <w:t xml:space="preserve"> · </w:t>
            </w:r>
            <w:r>
              <w:rPr>
                <w:rFonts w:ascii="Consolas" w:hAnsi="Consolas"/>
                <w:b w:val="0"/>
                <w:i w:val="0"/>
                <w:color w:val="8B1A3A"/>
                <w:sz w:val="15"/>
              </w:rPr>
              <w:t>ms-clientes</w:t>
            </w:r>
          </w:p>
        </w:tc>
      </w:tr>
      <w:tr>
        <w:tc>
          <w:tcPr>
            <w:tcW w:type="dxa" w:w="1247"/>
          </w:tcPr>
          <w:p>
            <w:pPr>
              <w:spacing w:after="0" w:line="240" w:lineRule="auto"/>
              <w:jc w:val="left"/>
            </w:pPr>
            <w:r/>
            <w:r>
              <w:rPr>
                <w:rFonts w:ascii="Consolas" w:hAnsi="Consolas"/>
                <w:b w:val="0"/>
                <w:i w:val="0"/>
                <w:color w:val="8B1A3A"/>
                <w:sz w:val="15"/>
              </w:rPr>
              <w:t>ms-analytics</w:t>
            </w:r>
          </w:p>
        </w:tc>
        <w:tc>
          <w:tcPr>
            <w:tcW w:type="dxa" w:w="1020"/>
          </w:tcPr>
          <w:p>
            <w:pPr>
              <w:spacing w:after="0" w:line="240" w:lineRule="auto"/>
              <w:jc w:val="left"/>
            </w:pPr>
            <w:r/>
            <w:r>
              <w:rPr>
                <w:b w:val="0"/>
                <w:i w:val="0"/>
                <w:sz w:val="16"/>
              </w:rPr>
              <w:t>Satélite</w:t>
            </w:r>
          </w:p>
        </w:tc>
        <w:tc>
          <w:tcPr>
            <w:tcW w:type="dxa" w:w="2835"/>
          </w:tcPr>
          <w:p>
            <w:pPr>
              <w:spacing w:after="0" w:line="240" w:lineRule="auto"/>
              <w:jc w:val="left"/>
            </w:pPr>
            <w:r/>
            <w:r>
              <w:rPr>
                <w:b w:val="0"/>
                <w:i w:val="0"/>
                <w:sz w:val="16"/>
              </w:rPr>
              <w:t>Consolidar indicadores de venda e produção para previsão e dashboards.</w:t>
            </w:r>
          </w:p>
        </w:tc>
        <w:tc>
          <w:tcPr>
            <w:tcW w:type="dxa" w:w="2721"/>
          </w:tcPr>
          <w:p>
            <w:pPr>
              <w:spacing w:after="0" w:line="240" w:lineRule="auto"/>
              <w:jc w:val="left"/>
            </w:pPr>
            <w:r/>
            <w:r>
              <w:rPr>
                <w:b w:val="0"/>
                <w:i w:val="0"/>
                <w:sz w:val="16"/>
              </w:rPr>
              <w:t>Indicador Consolidado · Modelo de Previsão</w:t>
            </w:r>
          </w:p>
        </w:tc>
        <w:tc>
          <w:tcPr>
            <w:tcW w:type="dxa" w:w="1814"/>
          </w:tcPr>
          <w:p>
            <w:pPr>
              <w:spacing w:after="0" w:line="240" w:lineRule="auto"/>
              <w:jc w:val="left"/>
            </w:pPr>
            <w:r/>
            <w:r>
              <w:rPr>
                <w:b w:val="0"/>
                <w:i w:val="0"/>
                <w:sz w:val="16"/>
              </w:rPr>
              <w:t>Dashboard (BI) · Gestão / Direção</w:t>
            </w:r>
          </w:p>
        </w:tc>
      </w:tr>
    </w:tbl>
    <w:p>
      <w:pPr>
        <w:pStyle w:val="Heading3"/>
      </w:pPr>
      <w:r>
        <w:rPr>
          <w:b w:val="0"/>
          <w:i w:val="0"/>
          <w:sz w:val="22"/>
        </w:rPr>
        <w:t>1.1.1 Regras de posse dos dados (uma entidade, um dono)</w:t>
      </w:r>
    </w:p>
    <w:p>
      <w:r>
        <w:rPr>
          <w:b w:val="0"/>
          <w:i w:val="0"/>
          <w:sz w:val="22"/>
        </w:rPr>
        <w:t>Para que a seção 3 (Database per Service) e o diagrama da seção 2 não encontrem posse duplicada, valem estas quatro regras. Nenhum serviço compartilha tabela com outro: cada entidade tem um único dono.</w:t>
      </w:r>
    </w:p>
    <w:p>
      <w:pPr>
        <w:ind w:left="340" w:hanging="340"/>
      </w:pPr>
      <w:r>
        <w:rPr>
          <w:b w:val="0"/>
          <w:i w:val="0"/>
          <w:sz w:val="22"/>
        </w:rPr>
        <w:t xml:space="preserve">1. </w:t>
      </w:r>
      <w:r>
        <w:rPr>
          <w:b/>
          <w:i w:val="0"/>
          <w:sz w:val="22"/>
        </w:rPr>
        <w:t xml:space="preserve">Safra pertence ao </w:t>
      </w:r>
      <w:r>
        <w:rPr>
          <w:rFonts w:ascii="Consolas" w:hAnsi="Consolas"/>
          <w:b/>
          <w:i w:val="0"/>
          <w:color w:val="8B1A3A"/>
          <w:sz w:val="21"/>
        </w:rPr>
        <w:t>ms-producao</w:t>
      </w:r>
      <w:r>
        <w:rPr>
          <w:b/>
          <w:i w:val="0"/>
          <w:sz w:val="22"/>
        </w:rPr>
        <w:t>.</w:t>
      </w:r>
      <w:r>
        <w:rPr>
          <w:b w:val="0"/>
          <w:i w:val="0"/>
          <w:sz w:val="22"/>
        </w:rPr>
        <w:t xml:space="preserve"> O </w:t>
      </w:r>
      <w:r>
        <w:rPr>
          <w:rFonts w:ascii="Consolas" w:hAnsi="Consolas"/>
          <w:b w:val="0"/>
          <w:i w:val="0"/>
          <w:color w:val="8B1A3A"/>
          <w:sz w:val="21"/>
        </w:rPr>
        <w:t>ms-catalogo</w:t>
      </w:r>
      <w:r>
        <w:rPr>
          <w:b w:val="0"/>
          <w:i w:val="0"/>
          <w:sz w:val="22"/>
        </w:rPr>
        <w:t xml:space="preserve"> guarda a ficha comercial do vinho (teor, harmonização, mídia) e apenas </w:t>
      </w:r>
      <w:r>
        <w:rPr>
          <w:b w:val="0"/>
          <w:i/>
          <w:sz w:val="22"/>
        </w:rPr>
        <w:t>referencia</w:t>
      </w:r>
      <w:r>
        <w:rPr>
          <w:b w:val="0"/>
          <w:i w:val="0"/>
          <w:sz w:val="22"/>
        </w:rPr>
        <w:t xml:space="preserve"> a safra de exibição pelo </w:t>
      </w:r>
      <w:r>
        <w:rPr>
          <w:rFonts w:ascii="Consolas" w:hAnsi="Consolas"/>
          <w:b w:val="0"/>
          <w:i w:val="0"/>
          <w:color w:val="8B1A3A"/>
          <w:sz w:val="21"/>
        </w:rPr>
        <w:t>safraId</w:t>
      </w:r>
      <w:r>
        <w:rPr>
          <w:b w:val="0"/>
          <w:i w:val="0"/>
          <w:sz w:val="22"/>
        </w:rPr>
        <w:t xml:space="preserve">; não é dono do registro de safra. O </w:t>
      </w:r>
      <w:r>
        <w:rPr>
          <w:rFonts w:ascii="Consolas" w:hAnsi="Consolas"/>
          <w:b w:val="0"/>
          <w:i w:val="0"/>
          <w:color w:val="8B1A3A"/>
          <w:sz w:val="21"/>
        </w:rPr>
        <w:t>ms-lotes</w:t>
      </w:r>
      <w:r>
        <w:rPr>
          <w:b w:val="0"/>
          <w:i w:val="0"/>
          <w:sz w:val="22"/>
        </w:rPr>
        <w:t xml:space="preserve"> também referencia </w:t>
      </w:r>
      <w:r>
        <w:rPr>
          <w:rFonts w:ascii="Consolas" w:hAnsi="Consolas"/>
          <w:b w:val="0"/>
          <w:i w:val="0"/>
          <w:color w:val="8B1A3A"/>
          <w:sz w:val="21"/>
        </w:rPr>
        <w:t>safraId</w:t>
      </w:r>
      <w:r>
        <w:rPr>
          <w:b w:val="0"/>
          <w:i w:val="0"/>
          <w:sz w:val="22"/>
        </w:rPr>
        <w:t xml:space="preserve"> ao classificar o lote.</w:t>
      </w:r>
    </w:p>
    <w:p>
      <w:pPr>
        <w:ind w:left="340" w:hanging="340"/>
      </w:pPr>
      <w:r>
        <w:rPr>
          <w:b w:val="0"/>
          <w:i w:val="0"/>
          <w:sz w:val="22"/>
        </w:rPr>
        <w:t xml:space="preserve">2. </w:t>
      </w:r>
      <w:r>
        <w:rPr>
          <w:b/>
          <w:i w:val="0"/>
          <w:sz w:val="22"/>
        </w:rPr>
        <w:t>Nome canônico da movimentação.</w:t>
      </w:r>
      <w:r>
        <w:rPr>
          <w:b w:val="0"/>
          <w:i w:val="0"/>
          <w:sz w:val="22"/>
        </w:rPr>
        <w:t xml:space="preserve"> O que hoje existe como </w:t>
      </w:r>
      <w:r>
        <w:rPr>
          <w:rFonts w:ascii="Consolas" w:hAnsi="Consolas"/>
          <w:b w:val="0"/>
          <w:i w:val="0"/>
          <w:color w:val="8B1A3A"/>
          <w:sz w:val="21"/>
        </w:rPr>
        <w:t>TransacaoEstoque</w:t>
      </w:r>
      <w:r>
        <w:rPr>
          <w:b w:val="0"/>
          <w:i w:val="0"/>
          <w:sz w:val="22"/>
        </w:rPr>
        <w:t xml:space="preserve"> no .NET passa a se chamar </w:t>
      </w:r>
      <w:r>
        <w:rPr>
          <w:rFonts w:ascii="Consolas" w:hAnsi="Consolas"/>
          <w:b w:val="0"/>
          <w:i w:val="0"/>
          <w:color w:val="8B1A3A"/>
          <w:sz w:val="21"/>
        </w:rPr>
        <w:t>MovimentacaoEstoque</w:t>
      </w:r>
      <w:r>
        <w:rPr>
          <w:b w:val="0"/>
          <w:i w:val="0"/>
          <w:sz w:val="22"/>
        </w:rPr>
        <w:t xml:space="preserve"> no alvo — é a mesma entidade, renomeada na migração. Ela pertence ao </w:t>
      </w:r>
      <w:r>
        <w:rPr>
          <w:rFonts w:ascii="Consolas" w:hAnsi="Consolas"/>
          <w:b w:val="0"/>
          <w:i w:val="0"/>
          <w:color w:val="8B1A3A"/>
          <w:sz w:val="21"/>
        </w:rPr>
        <w:t>ms-estoque</w:t>
      </w:r>
      <w:r>
        <w:rPr>
          <w:b w:val="0"/>
          <w:i w:val="0"/>
          <w:sz w:val="22"/>
        </w:rPr>
        <w:t xml:space="preserve"> e não se duplica em outro serviço.</w:t>
      </w:r>
    </w:p>
    <w:p>
      <w:pPr>
        <w:ind w:left="340" w:hanging="340"/>
      </w:pPr>
      <w:r>
        <w:rPr>
          <w:b w:val="0"/>
          <w:i w:val="0"/>
          <w:sz w:val="22"/>
        </w:rPr>
        <w:t xml:space="preserve">3. </w:t>
      </w:r>
      <w:r>
        <w:rPr>
          <w:b/>
          <w:i w:val="0"/>
          <w:sz w:val="22"/>
        </w:rPr>
        <w:t xml:space="preserve">Só o </w:t>
      </w:r>
      <w:r>
        <w:rPr>
          <w:rFonts w:ascii="Consolas" w:hAnsi="Consolas"/>
          <w:b/>
          <w:i w:val="0"/>
          <w:color w:val="8B1A3A"/>
          <w:sz w:val="21"/>
        </w:rPr>
        <w:t>ms-estoque</w:t>
      </w:r>
      <w:r>
        <w:rPr>
          <w:b/>
          <w:i w:val="0"/>
          <w:sz w:val="22"/>
        </w:rPr>
        <w:t xml:space="preserve"> escreve no agregado de estoque.</w:t>
      </w:r>
      <w:r>
        <w:rPr>
          <w:b w:val="0"/>
          <w:i w:val="0"/>
          <w:sz w:val="22"/>
        </w:rPr>
        <w:t xml:space="preserve"> Posição, movimentação e reserva são escritas exclusivamente por ele. A entrada gerada pelo recebimento de uma compra nasce no </w:t>
      </w:r>
      <w:r>
        <w:rPr>
          <w:rFonts w:ascii="Consolas" w:hAnsi="Consolas"/>
          <w:b w:val="0"/>
          <w:i w:val="0"/>
          <w:color w:val="8B1A3A"/>
          <w:sz w:val="21"/>
        </w:rPr>
        <w:t>ms-fornecedores</w:t>
      </w:r>
      <w:r>
        <w:rPr>
          <w:b w:val="0"/>
          <w:i w:val="0"/>
          <w:sz w:val="22"/>
        </w:rPr>
        <w:t xml:space="preserve"> (dono do </w:t>
      </w:r>
      <w:r>
        <w:rPr>
          <w:rFonts w:ascii="Consolas" w:hAnsi="Consolas"/>
          <w:b w:val="0"/>
          <w:i w:val="0"/>
          <w:color w:val="8B1A3A"/>
          <w:sz w:val="21"/>
        </w:rPr>
        <w:t>Recebimento</w:t>
      </w:r>
      <w:r>
        <w:rPr>
          <w:b w:val="0"/>
          <w:i w:val="0"/>
          <w:sz w:val="22"/>
        </w:rPr>
        <w:t xml:space="preserve">) e chega ao </w:t>
      </w:r>
      <w:r>
        <w:rPr>
          <w:rFonts w:ascii="Consolas" w:hAnsi="Consolas"/>
          <w:b w:val="0"/>
          <w:i w:val="0"/>
          <w:color w:val="8B1A3A"/>
          <w:sz w:val="21"/>
        </w:rPr>
        <w:t>ms-estoque</w:t>
      </w:r>
      <w:r>
        <w:rPr>
          <w:b w:val="0"/>
          <w:i w:val="0"/>
          <w:sz w:val="22"/>
        </w:rPr>
        <w:t xml:space="preserve"> como evento; </w:t>
      </w:r>
      <w:r>
        <w:rPr>
          <w:b/>
          <w:i w:val="0"/>
          <w:sz w:val="22"/>
        </w:rPr>
        <w:t xml:space="preserve">quem registra o movimento de entrada é o </w:t>
      </w:r>
      <w:r>
        <w:rPr>
          <w:rFonts w:ascii="Consolas" w:hAnsi="Consolas"/>
          <w:b/>
          <w:i w:val="0"/>
          <w:color w:val="8B1A3A"/>
          <w:sz w:val="21"/>
        </w:rPr>
        <w:t>ms-estoque</w:t>
      </w:r>
      <w:r>
        <w:rPr>
          <w:b w:val="0"/>
          <w:i w:val="0"/>
          <w:sz w:val="22"/>
        </w:rPr>
        <w:t>. Nenhum outro serviço escreve posição de estoque.</w:t>
      </w:r>
    </w:p>
    <w:p>
      <w:pPr>
        <w:ind w:left="340" w:hanging="340"/>
      </w:pPr>
      <w:r>
        <w:rPr>
          <w:b w:val="0"/>
          <w:i w:val="0"/>
          <w:sz w:val="22"/>
        </w:rPr>
        <w:t xml:space="preserve">4. </w:t>
      </w:r>
      <w:r>
        <w:rPr>
          <w:b/>
          <w:i w:val="0"/>
          <w:sz w:val="22"/>
        </w:rPr>
        <w:t>Cópias derivadas são declaradas como tal.</w:t>
      </w:r>
      <w:r>
        <w:rPr>
          <w:b w:val="0"/>
          <w:i w:val="0"/>
          <w:sz w:val="22"/>
        </w:rPr>
        <w:t xml:space="preserve"> O histórico de compras do </w:t>
      </w:r>
      <w:r>
        <w:rPr>
          <w:rFonts w:ascii="Consolas" w:hAnsi="Consolas"/>
          <w:b w:val="0"/>
          <w:i w:val="0"/>
          <w:color w:val="8B1A3A"/>
          <w:sz w:val="21"/>
        </w:rPr>
        <w:t>ms-clientes</w:t>
      </w:r>
      <w:r>
        <w:rPr>
          <w:b w:val="0"/>
          <w:i w:val="0"/>
          <w:sz w:val="22"/>
        </w:rPr>
        <w:t xml:space="preserve"> e o dataset histórico do </w:t>
      </w:r>
      <w:r>
        <w:rPr>
          <w:rFonts w:ascii="Consolas" w:hAnsi="Consolas"/>
          <w:b w:val="0"/>
          <w:i w:val="0"/>
          <w:color w:val="8B1A3A"/>
          <w:sz w:val="21"/>
        </w:rPr>
        <w:t>ms-analytics</w:t>
      </w:r>
      <w:r>
        <w:rPr>
          <w:b w:val="0"/>
          <w:i w:val="0"/>
          <w:sz w:val="22"/>
        </w:rPr>
        <w:t xml:space="preserve"> são </w:t>
      </w:r>
      <w:r>
        <w:rPr>
          <w:b w:val="0"/>
          <w:i/>
          <w:sz w:val="22"/>
        </w:rPr>
        <w:t>read-models</w:t>
      </w:r>
      <w:r>
        <w:rPr>
          <w:b w:val="0"/>
          <w:i w:val="0"/>
          <w:sz w:val="22"/>
        </w:rPr>
        <w:t xml:space="preserve"> (cópias somente-leitura) alimentados por evento a partir do </w:t>
      </w:r>
      <w:r>
        <w:rPr>
          <w:rFonts w:ascii="Consolas" w:hAnsi="Consolas"/>
          <w:b w:val="0"/>
          <w:i w:val="0"/>
          <w:color w:val="8B1A3A"/>
          <w:sz w:val="21"/>
        </w:rPr>
        <w:t>ms-pedidos</w:t>
      </w:r>
      <w:r>
        <w:rPr>
          <w:b w:val="0"/>
          <w:i w:val="0"/>
          <w:sz w:val="22"/>
        </w:rPr>
        <w:t xml:space="preserve">; não são posse de dado. O dono do pedido continua sendo o </w:t>
      </w:r>
      <w:r>
        <w:rPr>
          <w:rFonts w:ascii="Consolas" w:hAnsi="Consolas"/>
          <w:b w:val="0"/>
          <w:i w:val="0"/>
          <w:color w:val="8B1A3A"/>
          <w:sz w:val="21"/>
        </w:rPr>
        <w:t>ms-pedidos</w:t>
      </w:r>
      <w:r>
        <w:rPr>
          <w:b w:val="0"/>
          <w:i w:val="0"/>
          <w:sz w:val="22"/>
        </w:rPr>
        <w:t>.</w:t>
      </w:r>
    </w:p>
    <w:p>
      <w:pPr>
        <w:pStyle w:val="Heading3"/>
      </w:pPr>
      <w:r>
        <w:rPr>
          <w:b w:val="0"/>
          <w:i w:val="0"/>
          <w:sz w:val="22"/>
        </w:rPr>
        <w:t>1.1.2 Sobre a contagem</w:t>
      </w:r>
    </w:p>
    <w:p>
      <w:r>
        <w:rPr>
          <w:b w:val="0"/>
          <w:i w:val="0"/>
          <w:sz w:val="22"/>
        </w:rPr>
        <w:t xml:space="preserve">O enunciado pede </w:t>
      </w:r>
      <w:r>
        <w:rPr>
          <w:b/>
          <w:i w:val="0"/>
          <w:sz w:val="22"/>
        </w:rPr>
        <w:t>os principais serviços</w:t>
      </w:r>
      <w:r>
        <w:rPr>
          <w:b w:val="0"/>
          <w:i w:val="0"/>
          <w:sz w:val="22"/>
        </w:rPr>
        <w:t xml:space="preserve"> do sistema e exemplifica quatro domínios (produção, rastreamento de lotes, pedidos/compras/fornecedores/estoque e qualidade). A decomposição do grupo chegou a </w:t>
      </w:r>
      <w:r>
        <w:rPr>
          <w:b/>
          <w:i w:val="0"/>
          <w:sz w:val="22"/>
        </w:rPr>
        <w:t>12 serviços: 9 de núcleo + 3 satélites</w:t>
      </w:r>
      <w:r>
        <w:rPr>
          <w:b w:val="0"/>
          <w:i w:val="0"/>
          <w:sz w:val="22"/>
        </w:rPr>
        <w:t>, pelos critérios de fronteira da seção 1.2:</w:t>
      </w:r>
    </w:p>
    <w:p>
      <w:pPr>
        <w:pStyle w:val="ListBullet"/>
      </w:pPr>
      <w:r>
        <w:rPr>
          <w:b/>
          <w:i w:val="0"/>
          <w:sz w:val="22"/>
        </w:rPr>
        <w:t>Núcleo (9)</w:t>
      </w:r>
      <w:r>
        <w:rPr>
          <w:b w:val="0"/>
          <w:i w:val="0"/>
          <w:sz w:val="22"/>
        </w:rPr>
        <w:t xml:space="preserve"> — os que carregam a cadeia de valor da vinícola: </w:t>
      </w:r>
      <w:r>
        <w:rPr>
          <w:rFonts w:ascii="Consolas" w:hAnsi="Consolas"/>
          <w:b w:val="0"/>
          <w:i w:val="0"/>
          <w:color w:val="8B1A3A"/>
          <w:sz w:val="21"/>
        </w:rPr>
        <w:t>ms-catalogo</w:t>
      </w:r>
      <w:r>
        <w:rPr>
          <w:b w:val="0"/>
          <w:i w:val="0"/>
          <w:sz w:val="22"/>
        </w:rPr>
        <w:t xml:space="preserve">, </w:t>
      </w:r>
      <w:r>
        <w:rPr>
          <w:rFonts w:ascii="Consolas" w:hAnsi="Consolas"/>
          <w:b w:val="0"/>
          <w:i w:val="0"/>
          <w:color w:val="8B1A3A"/>
          <w:sz w:val="21"/>
        </w:rPr>
        <w:t>ms-producao</w:t>
      </w:r>
      <w:r>
        <w:rPr>
          <w:b w:val="0"/>
          <w:i w:val="0"/>
          <w:sz w:val="22"/>
        </w:rPr>
        <w:t xml:space="preserve">, </w:t>
      </w:r>
      <w:r>
        <w:rPr>
          <w:rFonts w:ascii="Consolas" w:hAnsi="Consolas"/>
          <w:b w:val="0"/>
          <w:i w:val="0"/>
          <w:color w:val="8B1A3A"/>
          <w:sz w:val="21"/>
        </w:rPr>
        <w:t>ms-lotes</w:t>
      </w:r>
      <w:r>
        <w:rPr>
          <w:b w:val="0"/>
          <w:i w:val="0"/>
          <w:sz w:val="22"/>
        </w:rPr>
        <w:t xml:space="preserve">, </w:t>
      </w:r>
      <w:r>
        <w:rPr>
          <w:rFonts w:ascii="Consolas" w:hAnsi="Consolas"/>
          <w:b w:val="0"/>
          <w:i w:val="0"/>
          <w:color w:val="8B1A3A"/>
          <w:sz w:val="21"/>
        </w:rPr>
        <w:t>ms-estoque</w:t>
      </w:r>
      <w:r>
        <w:rPr>
          <w:b w:val="0"/>
          <w:i w:val="0"/>
          <w:sz w:val="22"/>
        </w:rPr>
        <w:t xml:space="preserve">, </w:t>
      </w:r>
      <w:r>
        <w:rPr>
          <w:rFonts w:ascii="Consolas" w:hAnsi="Consolas"/>
          <w:b w:val="0"/>
          <w:i w:val="0"/>
          <w:color w:val="8B1A3A"/>
          <w:sz w:val="21"/>
        </w:rPr>
        <w:t>ms-pedidos</w:t>
      </w:r>
      <w:r>
        <w:rPr>
          <w:b w:val="0"/>
          <w:i w:val="0"/>
          <w:sz w:val="22"/>
        </w:rPr>
        <w:t xml:space="preserve">, </w:t>
      </w:r>
      <w:r>
        <w:rPr>
          <w:rFonts w:ascii="Consolas" w:hAnsi="Consolas"/>
          <w:b w:val="0"/>
          <w:i w:val="0"/>
          <w:color w:val="8B1A3A"/>
          <w:sz w:val="21"/>
        </w:rPr>
        <w:t>ms-fornecedores</w:t>
      </w:r>
      <w:r>
        <w:rPr>
          <w:b w:val="0"/>
          <w:i w:val="0"/>
          <w:sz w:val="22"/>
        </w:rPr>
        <w:t xml:space="preserve">, </w:t>
      </w:r>
      <w:r>
        <w:rPr>
          <w:rFonts w:ascii="Consolas" w:hAnsi="Consolas"/>
          <w:b w:val="0"/>
          <w:i w:val="0"/>
          <w:color w:val="8B1A3A"/>
          <w:sz w:val="21"/>
        </w:rPr>
        <w:t>ms-qualidade</w:t>
      </w:r>
      <w:r>
        <w:rPr>
          <w:b w:val="0"/>
          <w:i w:val="0"/>
          <w:sz w:val="22"/>
        </w:rPr>
        <w:t xml:space="preserve">, </w:t>
      </w:r>
      <w:r>
        <w:rPr>
          <w:rFonts w:ascii="Consolas" w:hAnsi="Consolas"/>
          <w:b w:val="0"/>
          <w:i w:val="0"/>
          <w:color w:val="8B1A3A"/>
          <w:sz w:val="21"/>
        </w:rPr>
        <w:t>ms-clientes</w:t>
      </w:r>
      <w:r>
        <w:rPr>
          <w:b w:val="0"/>
          <w:i w:val="0"/>
          <w:sz w:val="22"/>
        </w:rPr>
        <w:t xml:space="preserve"> e </w:t>
      </w:r>
      <w:r>
        <w:rPr>
          <w:rFonts w:ascii="Consolas" w:hAnsi="Consolas"/>
          <w:b w:val="0"/>
          <w:i w:val="0"/>
          <w:color w:val="8B1A3A"/>
          <w:sz w:val="21"/>
        </w:rPr>
        <w:t>ms-pagamentos</w:t>
      </w:r>
      <w:r>
        <w:rPr>
          <w:b w:val="0"/>
          <w:i w:val="0"/>
          <w:sz w:val="22"/>
        </w:rPr>
        <w:t>;</w:t>
      </w:r>
    </w:p>
    <w:p>
      <w:pPr>
        <w:pStyle w:val="ListBullet"/>
      </w:pPr>
      <w:r>
        <w:rPr>
          <w:b/>
          <w:i w:val="0"/>
          <w:sz w:val="22"/>
        </w:rPr>
        <w:t>Satélites (3)</w:t>
      </w:r>
      <w:r>
        <w:rPr>
          <w:b w:val="0"/>
          <w:i w:val="0"/>
          <w:sz w:val="22"/>
        </w:rPr>
        <w:t xml:space="preserve"> — capacidades de plataforma que servem a todos os domínios sem pertencer a nenhum: </w:t>
      </w:r>
      <w:r>
        <w:rPr>
          <w:rFonts w:ascii="Consolas" w:hAnsi="Consolas"/>
          <w:b w:val="0"/>
          <w:i w:val="0"/>
          <w:color w:val="8B1A3A"/>
          <w:sz w:val="21"/>
        </w:rPr>
        <w:t>ms-identidade</w:t>
      </w:r>
      <w:r>
        <w:rPr>
          <w:b w:val="0"/>
          <w:i w:val="0"/>
          <w:sz w:val="22"/>
        </w:rPr>
        <w:t xml:space="preserve">, </w:t>
      </w:r>
      <w:r>
        <w:rPr>
          <w:rFonts w:ascii="Consolas" w:hAnsi="Consolas"/>
          <w:b w:val="0"/>
          <w:i w:val="0"/>
          <w:color w:val="8B1A3A"/>
          <w:sz w:val="21"/>
        </w:rPr>
        <w:t>ms-notificacoes</w:t>
      </w:r>
      <w:r>
        <w:rPr>
          <w:b w:val="0"/>
          <w:i w:val="0"/>
          <w:sz w:val="22"/>
        </w:rPr>
        <w:t xml:space="preserve"> e </w:t>
      </w:r>
      <w:r>
        <w:rPr>
          <w:rFonts w:ascii="Consolas" w:hAnsi="Consolas"/>
          <w:b w:val="0"/>
          <w:i w:val="0"/>
          <w:color w:val="8B1A3A"/>
          <w:sz w:val="21"/>
        </w:rPr>
        <w:t>ms-analytics</w:t>
      </w:r>
      <w:r>
        <w:rPr>
          <w:b w:val="0"/>
          <w:i w:val="0"/>
          <w:sz w:val="22"/>
        </w:rPr>
        <w:t>.</w:t>
      </w:r>
    </w:p>
    <w:p>
      <w:r>
        <w:rPr>
          <w:b w:val="0"/>
          <w:i w:val="0"/>
          <w:sz w:val="22"/>
        </w:rPr>
        <w:t xml:space="preserve">Optamos por não inflar a lista para arredondar um número: entre criar um serviço a mais só para fechar uma contagem e manter apenas serviços com responsabilidade genuinamente coesa, ficamos com a segunda opção — o mesmo critério usado para descartar os seis itens da seção 1.3. Se o grupo quiser um serviço de núcleo a mais, o único candidato natural é extrair o carrinho do </w:t>
      </w:r>
      <w:r>
        <w:rPr>
          <w:rFonts w:ascii="Consolas" w:hAnsi="Consolas"/>
          <w:b w:val="0"/>
          <w:i w:val="0"/>
          <w:color w:val="8B1A3A"/>
          <w:sz w:val="21"/>
        </w:rPr>
        <w:t>ms-pedidos</w:t>
      </w:r>
      <w:r>
        <w:rPr>
          <w:b w:val="0"/>
          <w:i w:val="0"/>
          <w:sz w:val="22"/>
        </w:rPr>
        <w:t xml:space="preserve"> (avaliado e descartado na seção 1.3 por ser estado efêmero do mesmo agregado); a decisão está registrada no Apêndice D.</w:t>
      </w:r>
    </w:p>
    <w:p>
      <w:pPr>
        <w:pStyle w:val="Heading3"/>
      </w:pPr>
      <w:r>
        <w:rPr>
          <w:b w:val="0"/>
          <w:i w:val="0"/>
          <w:sz w:val="22"/>
        </w:rPr>
        <w:t>1.1.3 Critérios de aceite — conferência</w:t>
      </w:r>
    </w:p>
    <w:p>
      <w:pPr>
        <w:keepNext/>
        <w:spacing w:after="60" w:before="0"/>
        <w:jc w:val="left"/>
      </w:pPr>
      <w:r>
        <w:rPr>
          <w:b w:val="0"/>
          <w:i/>
          <w:color w:val="595959"/>
          <w:sz w:val="19"/>
        </w:rPr>
        <w:t>Tabela 2 — Conferência dos critérios do item 1</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819"/>
            <w:shd w:val="clear" w:fill="F4E7EB"/>
          </w:tcPr>
          <w:p>
            <w:pPr>
              <w:spacing w:after="0"/>
              <w:jc w:val="left"/>
            </w:pPr>
            <w:r>
              <w:rPr>
                <w:b/>
              </w:rPr>
            </w:r>
            <w:r>
              <w:rPr>
                <w:b/>
                <w:i w:val="0"/>
                <w:sz w:val="19"/>
              </w:rPr>
              <w:t>Critério do enunciado</w:t>
            </w:r>
          </w:p>
        </w:tc>
        <w:tc>
          <w:tcPr>
            <w:tcW w:type="dxa" w:w="4819"/>
            <w:shd w:val="clear" w:fill="F4E7EB"/>
          </w:tcPr>
          <w:p>
            <w:pPr>
              <w:spacing w:after="0"/>
              <w:jc w:val="left"/>
            </w:pPr>
            <w:r>
              <w:rPr>
                <w:b/>
              </w:rPr>
            </w:r>
            <w:r>
              <w:rPr>
                <w:b/>
                <w:i w:val="0"/>
                <w:sz w:val="19"/>
              </w:rPr>
              <w:t>Onde é atendido</w:t>
            </w:r>
          </w:p>
        </w:tc>
      </w:tr>
      <w:tr>
        <w:tc>
          <w:tcPr>
            <w:tcW w:type="dxa" w:w="4819"/>
          </w:tcPr>
          <w:p>
            <w:pPr>
              <w:spacing w:after="0" w:line="240" w:lineRule="auto"/>
              <w:jc w:val="left"/>
            </w:pPr>
            <w:r/>
            <w:r>
              <w:rPr>
                <w:b w:val="0"/>
                <w:i w:val="0"/>
                <w:sz w:val="19"/>
              </w:rPr>
              <w:t>Cada serviço tem responsabilidade única e não compartilha tabela com outro</w:t>
            </w:r>
          </w:p>
        </w:tc>
        <w:tc>
          <w:tcPr>
            <w:tcW w:type="dxa" w:w="4819"/>
          </w:tcPr>
          <w:p>
            <w:pPr>
              <w:spacing w:after="0" w:line="240" w:lineRule="auto"/>
              <w:jc w:val="left"/>
            </w:pPr>
            <w:r/>
            <w:r>
              <w:rPr>
                <w:b w:val="0"/>
                <w:i w:val="0"/>
                <w:sz w:val="19"/>
              </w:rPr>
              <w:t>Coluna "Responsabilidade única" da tabela da seção 1.1 e regras de posse da seção 1.1.1</w:t>
            </w:r>
          </w:p>
        </w:tc>
      </w:tr>
      <w:tr>
        <w:tc>
          <w:tcPr>
            <w:tcW w:type="dxa" w:w="4819"/>
          </w:tcPr>
          <w:p>
            <w:pPr>
              <w:spacing w:after="0" w:line="240" w:lineRule="auto"/>
              <w:jc w:val="left"/>
            </w:pPr>
            <w:r/>
            <w:r>
              <w:rPr>
                <w:b w:val="0"/>
                <w:i w:val="0"/>
                <w:sz w:val="19"/>
              </w:rPr>
              <w:t>Cada serviço diz quem é o dono do dado (uma entidade por linha)</w:t>
            </w:r>
          </w:p>
        </w:tc>
        <w:tc>
          <w:tcPr>
            <w:tcW w:type="dxa" w:w="4819"/>
          </w:tcPr>
          <w:p>
            <w:pPr>
              <w:spacing w:after="0" w:line="240" w:lineRule="auto"/>
              <w:jc w:val="left"/>
            </w:pPr>
            <w:r/>
            <w:r>
              <w:rPr>
                <w:b w:val="0"/>
                <w:i w:val="0"/>
                <w:sz w:val="19"/>
              </w:rPr>
              <w:t>Coluna "Dados dos quais é dono" da tabela da seção 1.1, com as cópias derivadas declaradas na seção 1.1.1</w:t>
            </w:r>
          </w:p>
        </w:tc>
      </w:tr>
      <w:tr>
        <w:tc>
          <w:tcPr>
            <w:tcW w:type="dxa" w:w="4819"/>
          </w:tcPr>
          <w:p>
            <w:pPr>
              <w:spacing w:after="0" w:line="240" w:lineRule="auto"/>
              <w:jc w:val="left"/>
            </w:pPr>
            <w:r/>
            <w:r>
              <w:rPr>
                <w:b w:val="0"/>
                <w:i w:val="0"/>
                <w:sz w:val="19"/>
              </w:rPr>
              <w:t>Nomes padronizados (</w:t>
            </w:r>
            <w:r>
              <w:rPr>
                <w:rFonts w:ascii="Consolas" w:hAnsi="Consolas"/>
                <w:b w:val="0"/>
                <w:i w:val="0"/>
                <w:color w:val="8B1A3A"/>
                <w:sz w:val="18"/>
              </w:rPr>
              <w:t>ms-...</w:t>
            </w:r>
            <w:r>
              <w:rPr>
                <w:b w:val="0"/>
                <w:i w:val="0"/>
                <w:sz w:val="19"/>
              </w:rPr>
              <w:t>)</w:t>
            </w:r>
          </w:p>
        </w:tc>
        <w:tc>
          <w:tcPr>
            <w:tcW w:type="dxa" w:w="4819"/>
          </w:tcPr>
          <w:p>
            <w:pPr>
              <w:spacing w:after="0" w:line="240" w:lineRule="auto"/>
              <w:jc w:val="left"/>
            </w:pPr>
            <w:r/>
            <w:r>
              <w:rPr>
                <w:b w:val="0"/>
                <w:i w:val="0"/>
                <w:sz w:val="19"/>
              </w:rPr>
              <w:t>seção 1.6 — glossário congelado, 12 nomes, sem exceção</w:t>
            </w:r>
          </w:p>
        </w:tc>
      </w:tr>
      <w:tr>
        <w:tc>
          <w:tcPr>
            <w:tcW w:type="dxa" w:w="4819"/>
          </w:tcPr>
          <w:p>
            <w:pPr>
              <w:spacing w:after="0" w:line="240" w:lineRule="auto"/>
              <w:jc w:val="left"/>
            </w:pPr>
            <w:r/>
            <w:r>
              <w:rPr>
                <w:b w:val="0"/>
                <w:i w:val="0"/>
                <w:sz w:val="19"/>
              </w:rPr>
              <w:t>Seção curta do que ficou de fora e por quê</w:t>
            </w:r>
          </w:p>
        </w:tc>
        <w:tc>
          <w:tcPr>
            <w:tcW w:type="dxa" w:w="4819"/>
          </w:tcPr>
          <w:p>
            <w:pPr>
              <w:spacing w:after="0" w:line="240" w:lineRule="auto"/>
              <w:jc w:val="left"/>
            </w:pPr>
            <w:r/>
            <w:r>
              <w:rPr>
                <w:b w:val="0"/>
                <w:i w:val="0"/>
                <w:sz w:val="19"/>
              </w:rPr>
              <w:t>seção 1.3, com seis descartes justificados</w:t>
            </w:r>
          </w:p>
        </w:tc>
      </w:tr>
    </w:tbl>
    <w:p>
      <w:pPr>
        <w:pStyle w:val="Heading3"/>
      </w:pPr>
      <w:r>
        <w:rPr>
          <w:b w:val="0"/>
          <w:i w:val="0"/>
          <w:sz w:val="22"/>
        </w:rPr>
        <w:t>1.1.4 Dono do dado por entidade</w:t>
      </w:r>
    </w:p>
    <w:p>
      <w:r>
        <w:rPr>
          <w:b w:val="0"/>
          <w:i w:val="0"/>
          <w:sz w:val="22"/>
        </w:rPr>
        <w:t xml:space="preserve">Cada entidade pertence a </w:t>
      </w:r>
      <w:r>
        <w:rPr>
          <w:b/>
          <w:i w:val="0"/>
          <w:sz w:val="22"/>
        </w:rPr>
        <w:t>um único</w:t>
      </w:r>
      <w:r>
        <w:rPr>
          <w:b w:val="0"/>
          <w:i w:val="0"/>
          <w:sz w:val="22"/>
        </w:rPr>
        <w:t xml:space="preserve"> serviço, e esta é a lista que a seção 3 (</w:t>
      </w:r>
      <w:r>
        <w:rPr>
          <w:b w:val="0"/>
          <w:i/>
          <w:sz w:val="22"/>
        </w:rPr>
        <w:t>Database per Service</w:t>
      </w:r>
      <w:r>
        <w:rPr>
          <w:b w:val="0"/>
          <w:i w:val="0"/>
          <w:sz w:val="22"/>
        </w:rPr>
        <w:t>) usa como entrada. Onde existe leitura cruzada, ela acontece por API ou por evento — nunca por acesso direto ao banco do vizinho.</w:t>
      </w:r>
    </w:p>
    <w:p>
      <w:pPr>
        <w:keepNext/>
        <w:spacing w:after="60" w:before="0"/>
        <w:jc w:val="left"/>
      </w:pPr>
      <w:r>
        <w:rPr>
          <w:b w:val="0"/>
          <w:i/>
          <w:color w:val="595959"/>
          <w:sz w:val="19"/>
        </w:rPr>
        <w:t>Tabela 3 — Dono do dado por entidade</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2268"/>
            <w:shd w:val="clear" w:fill="F4E7EB"/>
          </w:tcPr>
          <w:p>
            <w:pPr>
              <w:spacing w:after="0"/>
              <w:jc w:val="left"/>
            </w:pPr>
            <w:r>
              <w:rPr>
                <w:b/>
              </w:rPr>
            </w:r>
            <w:r>
              <w:rPr>
                <w:b/>
                <w:i w:val="0"/>
                <w:sz w:val="19"/>
              </w:rPr>
              <w:t>Serviço</w:t>
            </w:r>
          </w:p>
        </w:tc>
        <w:tc>
          <w:tcPr>
            <w:tcW w:type="dxa" w:w="7370"/>
            <w:shd w:val="clear" w:fill="F4E7EB"/>
          </w:tcPr>
          <w:p>
            <w:pPr>
              <w:spacing w:after="0"/>
              <w:jc w:val="left"/>
            </w:pPr>
            <w:r>
              <w:rPr>
                <w:b/>
              </w:rPr>
            </w:r>
            <w:r>
              <w:rPr>
                <w:b/>
                <w:i w:val="0"/>
                <w:sz w:val="19"/>
              </w:rPr>
              <w:t>Entidades das quais é dono</w:t>
            </w:r>
          </w:p>
        </w:tc>
      </w:tr>
      <w:tr>
        <w:tc>
          <w:tcPr>
            <w:tcW w:type="dxa" w:w="2268"/>
          </w:tcPr>
          <w:p>
            <w:pPr>
              <w:spacing w:after="0" w:line="240" w:lineRule="auto"/>
              <w:jc w:val="left"/>
            </w:pPr>
            <w:r/>
            <w:r>
              <w:rPr>
                <w:rFonts w:ascii="Consolas" w:hAnsi="Consolas"/>
                <w:b w:val="0"/>
                <w:i w:val="0"/>
                <w:color w:val="8B1A3A"/>
                <w:sz w:val="18"/>
              </w:rPr>
              <w:t>ms-catalogo</w:t>
            </w:r>
          </w:p>
        </w:tc>
        <w:tc>
          <w:tcPr>
            <w:tcW w:type="dxa" w:w="7370"/>
          </w:tcPr>
          <w:p>
            <w:pPr>
              <w:spacing w:after="0" w:line="240" w:lineRule="auto"/>
              <w:jc w:val="left"/>
            </w:pPr>
            <w:r/>
            <w:r>
              <w:rPr>
                <w:b w:val="0"/>
                <w:i w:val="0"/>
                <w:sz w:val="19"/>
              </w:rPr>
              <w:t>Vinho (ficha comercial), Categoria, Regra de Harmonização, Mídia do Produto</w:t>
            </w:r>
          </w:p>
        </w:tc>
      </w:tr>
      <w:tr>
        <w:tc>
          <w:tcPr>
            <w:tcW w:type="dxa" w:w="2268"/>
          </w:tcPr>
          <w:p>
            <w:pPr>
              <w:spacing w:after="0" w:line="240" w:lineRule="auto"/>
              <w:jc w:val="left"/>
            </w:pPr>
            <w:r/>
            <w:r>
              <w:rPr>
                <w:rFonts w:ascii="Consolas" w:hAnsi="Consolas"/>
                <w:b w:val="0"/>
                <w:i w:val="0"/>
                <w:color w:val="8B1A3A"/>
                <w:sz w:val="18"/>
              </w:rPr>
              <w:t>ms-producao</w:t>
            </w:r>
          </w:p>
        </w:tc>
        <w:tc>
          <w:tcPr>
            <w:tcW w:type="dxa" w:w="7370"/>
          </w:tcPr>
          <w:p>
            <w:pPr>
              <w:spacing w:after="0" w:line="240" w:lineRule="auto"/>
              <w:jc w:val="left"/>
            </w:pPr>
            <w:r/>
            <w:r>
              <w:rPr>
                <w:b w:val="0"/>
                <w:i w:val="0"/>
                <w:sz w:val="19"/>
              </w:rPr>
              <w:t>Safra, Colheita, Fermentação, Armazenagem</w:t>
            </w:r>
          </w:p>
        </w:tc>
      </w:tr>
      <w:tr>
        <w:tc>
          <w:tcPr>
            <w:tcW w:type="dxa" w:w="2268"/>
          </w:tcPr>
          <w:p>
            <w:pPr>
              <w:spacing w:after="0" w:line="240" w:lineRule="auto"/>
              <w:jc w:val="left"/>
            </w:pPr>
            <w:r/>
            <w:r>
              <w:rPr>
                <w:rFonts w:ascii="Consolas" w:hAnsi="Consolas"/>
                <w:b w:val="0"/>
                <w:i w:val="0"/>
                <w:color w:val="8B1A3A"/>
                <w:sz w:val="18"/>
              </w:rPr>
              <w:t>ms-lotes</w:t>
            </w:r>
          </w:p>
        </w:tc>
        <w:tc>
          <w:tcPr>
            <w:tcW w:type="dxa" w:w="7370"/>
          </w:tcPr>
          <w:p>
            <w:pPr>
              <w:spacing w:after="0" w:line="240" w:lineRule="auto"/>
              <w:jc w:val="left"/>
            </w:pPr>
            <w:r/>
            <w:r>
              <w:rPr>
                <w:b w:val="0"/>
                <w:i w:val="0"/>
                <w:sz w:val="19"/>
              </w:rPr>
              <w:t>Lote, Genealogia do Lote, Código de Rastreio / QR, Histórico do Lote</w:t>
            </w:r>
          </w:p>
        </w:tc>
      </w:tr>
      <w:tr>
        <w:tc>
          <w:tcPr>
            <w:tcW w:type="dxa" w:w="2268"/>
          </w:tcPr>
          <w:p>
            <w:pPr>
              <w:spacing w:after="0" w:line="240" w:lineRule="auto"/>
              <w:jc w:val="left"/>
            </w:pPr>
            <w:r/>
            <w:r>
              <w:rPr>
                <w:rFonts w:ascii="Consolas" w:hAnsi="Consolas"/>
                <w:b w:val="0"/>
                <w:i w:val="0"/>
                <w:color w:val="8B1A3A"/>
                <w:sz w:val="18"/>
              </w:rPr>
              <w:t>ms-estoque</w:t>
            </w:r>
          </w:p>
        </w:tc>
        <w:tc>
          <w:tcPr>
            <w:tcW w:type="dxa" w:w="7370"/>
          </w:tcPr>
          <w:p>
            <w:pPr>
              <w:spacing w:after="0" w:line="240" w:lineRule="auto"/>
              <w:jc w:val="left"/>
            </w:pPr>
            <w:r/>
            <w:r>
              <w:rPr>
                <w:b w:val="0"/>
                <w:i w:val="0"/>
                <w:sz w:val="19"/>
              </w:rPr>
              <w:t>Posição de Estoque, MovimentacaoEstoque, Reserva</w:t>
            </w:r>
          </w:p>
        </w:tc>
      </w:tr>
      <w:tr>
        <w:tc>
          <w:tcPr>
            <w:tcW w:type="dxa" w:w="2268"/>
          </w:tcPr>
          <w:p>
            <w:pPr>
              <w:spacing w:after="0" w:line="240" w:lineRule="auto"/>
              <w:jc w:val="left"/>
            </w:pPr>
            <w:r/>
            <w:r>
              <w:rPr>
                <w:rFonts w:ascii="Consolas" w:hAnsi="Consolas"/>
                <w:b w:val="0"/>
                <w:i w:val="0"/>
                <w:color w:val="8B1A3A"/>
                <w:sz w:val="18"/>
              </w:rPr>
              <w:t>ms-pedidos</w:t>
            </w:r>
          </w:p>
        </w:tc>
        <w:tc>
          <w:tcPr>
            <w:tcW w:type="dxa" w:w="7370"/>
          </w:tcPr>
          <w:p>
            <w:pPr>
              <w:spacing w:after="0" w:line="240" w:lineRule="auto"/>
              <w:jc w:val="left"/>
            </w:pPr>
            <w:r/>
            <w:r>
              <w:rPr>
                <w:b w:val="0"/>
                <w:i w:val="0"/>
                <w:sz w:val="19"/>
              </w:rPr>
              <w:t>Carrinho, Pedido, Item do Pedido, Status de Separação / Entrega</w:t>
            </w:r>
          </w:p>
        </w:tc>
      </w:tr>
      <w:tr>
        <w:tc>
          <w:tcPr>
            <w:tcW w:type="dxa" w:w="2268"/>
          </w:tcPr>
          <w:p>
            <w:pPr>
              <w:spacing w:after="0" w:line="240" w:lineRule="auto"/>
              <w:jc w:val="left"/>
            </w:pPr>
            <w:r/>
            <w:r>
              <w:rPr>
                <w:rFonts w:ascii="Consolas" w:hAnsi="Consolas"/>
                <w:b w:val="0"/>
                <w:i w:val="0"/>
                <w:color w:val="8B1A3A"/>
                <w:sz w:val="18"/>
              </w:rPr>
              <w:t>ms-fornecedores</w:t>
            </w:r>
          </w:p>
        </w:tc>
        <w:tc>
          <w:tcPr>
            <w:tcW w:type="dxa" w:w="7370"/>
          </w:tcPr>
          <w:p>
            <w:pPr>
              <w:spacing w:after="0" w:line="240" w:lineRule="auto"/>
              <w:jc w:val="left"/>
            </w:pPr>
            <w:r/>
            <w:r>
              <w:rPr>
                <w:b w:val="0"/>
                <w:i w:val="0"/>
                <w:sz w:val="19"/>
              </w:rPr>
              <w:t>Fornecedor, PedidoCompra, Recebimento</w:t>
            </w:r>
          </w:p>
        </w:tc>
      </w:tr>
      <w:tr>
        <w:tc>
          <w:tcPr>
            <w:tcW w:type="dxa" w:w="2268"/>
          </w:tcPr>
          <w:p>
            <w:pPr>
              <w:spacing w:after="0" w:line="240" w:lineRule="auto"/>
              <w:jc w:val="left"/>
            </w:pPr>
            <w:r/>
            <w:r>
              <w:rPr>
                <w:rFonts w:ascii="Consolas" w:hAnsi="Consolas"/>
                <w:b w:val="0"/>
                <w:i w:val="0"/>
                <w:color w:val="8B1A3A"/>
                <w:sz w:val="18"/>
              </w:rPr>
              <w:t>ms-qualidade</w:t>
            </w:r>
          </w:p>
        </w:tc>
        <w:tc>
          <w:tcPr>
            <w:tcW w:type="dxa" w:w="7370"/>
          </w:tcPr>
          <w:p>
            <w:pPr>
              <w:spacing w:after="0" w:line="240" w:lineRule="auto"/>
              <w:jc w:val="left"/>
            </w:pPr>
            <w:r/>
            <w:r>
              <w:rPr>
                <w:b w:val="0"/>
                <w:i w:val="0"/>
                <w:sz w:val="19"/>
              </w:rPr>
              <w:t>Leitura de Temperatura / Umidade, Análise Laboratorial, Alerta</w:t>
            </w:r>
          </w:p>
        </w:tc>
      </w:tr>
      <w:tr>
        <w:tc>
          <w:tcPr>
            <w:tcW w:type="dxa" w:w="2268"/>
          </w:tcPr>
          <w:p>
            <w:pPr>
              <w:spacing w:after="0" w:line="240" w:lineRule="auto"/>
              <w:jc w:val="left"/>
            </w:pPr>
            <w:r/>
            <w:r>
              <w:rPr>
                <w:rFonts w:ascii="Consolas" w:hAnsi="Consolas"/>
                <w:b w:val="0"/>
                <w:i w:val="0"/>
                <w:color w:val="8B1A3A"/>
                <w:sz w:val="18"/>
              </w:rPr>
              <w:t>ms-clientes</w:t>
            </w:r>
          </w:p>
        </w:tc>
        <w:tc>
          <w:tcPr>
            <w:tcW w:type="dxa" w:w="7370"/>
          </w:tcPr>
          <w:p>
            <w:pPr>
              <w:spacing w:after="0" w:line="240" w:lineRule="auto"/>
              <w:jc w:val="left"/>
            </w:pPr>
            <w:r/>
            <w:r>
              <w:rPr>
                <w:b w:val="0"/>
                <w:i w:val="0"/>
                <w:sz w:val="19"/>
              </w:rPr>
              <w:t>Cliente, Perfil, Consentimento LGPD</w:t>
            </w:r>
          </w:p>
        </w:tc>
      </w:tr>
      <w:tr>
        <w:tc>
          <w:tcPr>
            <w:tcW w:type="dxa" w:w="2268"/>
          </w:tcPr>
          <w:p>
            <w:pPr>
              <w:spacing w:after="0" w:line="240" w:lineRule="auto"/>
              <w:jc w:val="left"/>
            </w:pPr>
            <w:r/>
            <w:r>
              <w:rPr>
                <w:rFonts w:ascii="Consolas" w:hAnsi="Consolas"/>
                <w:b w:val="0"/>
                <w:i w:val="0"/>
                <w:color w:val="8B1A3A"/>
                <w:sz w:val="18"/>
              </w:rPr>
              <w:t>ms-pagamentos</w:t>
            </w:r>
          </w:p>
        </w:tc>
        <w:tc>
          <w:tcPr>
            <w:tcW w:type="dxa" w:w="7370"/>
          </w:tcPr>
          <w:p>
            <w:pPr>
              <w:spacing w:after="0" w:line="240" w:lineRule="auto"/>
              <w:jc w:val="left"/>
            </w:pPr>
            <w:r/>
            <w:r>
              <w:rPr>
                <w:b w:val="0"/>
                <w:i w:val="0"/>
                <w:sz w:val="19"/>
              </w:rPr>
              <w:t>Cobrança, Transação, Conciliação, Estorno</w:t>
            </w:r>
          </w:p>
        </w:tc>
      </w:tr>
      <w:tr>
        <w:tc>
          <w:tcPr>
            <w:tcW w:type="dxa" w:w="2268"/>
          </w:tcPr>
          <w:p>
            <w:pPr>
              <w:spacing w:after="0" w:line="240" w:lineRule="auto"/>
              <w:jc w:val="left"/>
            </w:pPr>
            <w:r/>
            <w:r>
              <w:rPr>
                <w:rFonts w:ascii="Consolas" w:hAnsi="Consolas"/>
                <w:b w:val="0"/>
                <w:i w:val="0"/>
                <w:color w:val="8B1A3A"/>
                <w:sz w:val="18"/>
              </w:rPr>
              <w:t>ms-identidade</w:t>
            </w:r>
          </w:p>
        </w:tc>
        <w:tc>
          <w:tcPr>
            <w:tcW w:type="dxa" w:w="7370"/>
          </w:tcPr>
          <w:p>
            <w:pPr>
              <w:spacing w:after="0" w:line="240" w:lineRule="auto"/>
              <w:jc w:val="left"/>
            </w:pPr>
            <w:r/>
            <w:r>
              <w:rPr>
                <w:b w:val="0"/>
                <w:i w:val="0"/>
                <w:sz w:val="19"/>
              </w:rPr>
              <w:t>Usuário / Credencial, Papel / Permissão (RBAC), Token / Sessão</w:t>
            </w:r>
          </w:p>
        </w:tc>
      </w:tr>
      <w:tr>
        <w:tc>
          <w:tcPr>
            <w:tcW w:type="dxa" w:w="2268"/>
          </w:tcPr>
          <w:p>
            <w:pPr>
              <w:spacing w:after="0" w:line="240" w:lineRule="auto"/>
              <w:jc w:val="left"/>
            </w:pPr>
            <w:r/>
            <w:r>
              <w:rPr>
                <w:rFonts w:ascii="Consolas" w:hAnsi="Consolas"/>
                <w:b w:val="0"/>
                <w:i w:val="0"/>
                <w:color w:val="8B1A3A"/>
                <w:sz w:val="18"/>
              </w:rPr>
              <w:t>ms-notificacoes</w:t>
            </w:r>
          </w:p>
        </w:tc>
        <w:tc>
          <w:tcPr>
            <w:tcW w:type="dxa" w:w="7370"/>
          </w:tcPr>
          <w:p>
            <w:pPr>
              <w:spacing w:after="0" w:line="240" w:lineRule="auto"/>
              <w:jc w:val="left"/>
            </w:pPr>
            <w:r/>
            <w:r>
              <w:rPr>
                <w:b w:val="0"/>
                <w:i w:val="0"/>
                <w:sz w:val="19"/>
              </w:rPr>
              <w:t>Template de Mensagem, Envio (status), Preferência de Canal</w:t>
            </w:r>
          </w:p>
        </w:tc>
      </w:tr>
      <w:tr>
        <w:tc>
          <w:tcPr>
            <w:tcW w:type="dxa" w:w="2268"/>
          </w:tcPr>
          <w:p>
            <w:pPr>
              <w:spacing w:after="0" w:line="240" w:lineRule="auto"/>
              <w:jc w:val="left"/>
            </w:pPr>
            <w:r/>
            <w:r>
              <w:rPr>
                <w:rFonts w:ascii="Consolas" w:hAnsi="Consolas"/>
                <w:b w:val="0"/>
                <w:i w:val="0"/>
                <w:color w:val="8B1A3A"/>
                <w:sz w:val="18"/>
              </w:rPr>
              <w:t>ms-analytics</w:t>
            </w:r>
          </w:p>
        </w:tc>
        <w:tc>
          <w:tcPr>
            <w:tcW w:type="dxa" w:w="7370"/>
          </w:tcPr>
          <w:p>
            <w:pPr>
              <w:spacing w:after="0" w:line="240" w:lineRule="auto"/>
              <w:jc w:val="left"/>
            </w:pPr>
            <w:r/>
            <w:r>
              <w:rPr>
                <w:b w:val="0"/>
                <w:i w:val="0"/>
                <w:sz w:val="19"/>
              </w:rPr>
              <w:t>Indicador Consolidado, Modelo de Previsão</w:t>
            </w:r>
          </w:p>
        </w:tc>
      </w:tr>
    </w:tbl>
    <w:p>
      <w:r>
        <w:rPr>
          <w:b w:val="0"/>
          <w:i w:val="0"/>
          <w:sz w:val="22"/>
        </w:rPr>
        <w:t xml:space="preserve">Fora dessa lista, duas coisas circulam como </w:t>
      </w:r>
      <w:r>
        <w:rPr>
          <w:b/>
          <w:i w:val="0"/>
          <w:sz w:val="22"/>
        </w:rPr>
        <w:t>projeção derivada</w:t>
      </w:r>
      <w:r>
        <w:rPr>
          <w:b w:val="0"/>
          <w:i w:val="0"/>
          <w:sz w:val="22"/>
        </w:rPr>
        <w:t xml:space="preserve">, não como posse: o histórico de compras em </w:t>
      </w:r>
      <w:r>
        <w:rPr>
          <w:rFonts w:ascii="Consolas" w:hAnsi="Consolas"/>
          <w:b w:val="0"/>
          <w:i w:val="0"/>
          <w:color w:val="8B1A3A"/>
          <w:sz w:val="21"/>
        </w:rPr>
        <w:t>ms-clientes</w:t>
      </w:r>
      <w:r>
        <w:rPr>
          <w:b w:val="0"/>
          <w:i w:val="0"/>
          <w:sz w:val="22"/>
        </w:rPr>
        <w:t xml:space="preserve"> (projeção do que pertence ao </w:t>
      </w:r>
      <w:r>
        <w:rPr>
          <w:rFonts w:ascii="Consolas" w:hAnsi="Consolas"/>
          <w:b w:val="0"/>
          <w:i w:val="0"/>
          <w:color w:val="8B1A3A"/>
          <w:sz w:val="21"/>
        </w:rPr>
        <w:t>ms-pedidos</w:t>
      </w:r>
      <w:r>
        <w:rPr>
          <w:b w:val="0"/>
          <w:i w:val="0"/>
          <w:sz w:val="22"/>
        </w:rPr>
        <w:t xml:space="preserve">) e o dataset histórico em </w:t>
      </w:r>
      <w:r>
        <w:rPr>
          <w:rFonts w:ascii="Consolas" w:hAnsi="Consolas"/>
          <w:b w:val="0"/>
          <w:i w:val="0"/>
          <w:color w:val="8B1A3A"/>
          <w:sz w:val="21"/>
        </w:rPr>
        <w:t>ms-analytics</w:t>
      </w:r>
      <w:r>
        <w:rPr>
          <w:b w:val="0"/>
          <w:i w:val="0"/>
          <w:sz w:val="22"/>
        </w:rPr>
        <w:t xml:space="preserve"> (cópia alimentada por evento). </w:t>
      </w:r>
      <w:r>
        <w:rPr>
          <w:rFonts w:ascii="Consolas" w:hAnsi="Consolas"/>
          <w:b w:val="0"/>
          <w:i w:val="0"/>
          <w:color w:val="8B1A3A"/>
          <w:sz w:val="21"/>
        </w:rPr>
        <w:t>Safra</w:t>
      </w:r>
      <w:r>
        <w:rPr>
          <w:b w:val="0"/>
          <w:i w:val="0"/>
          <w:sz w:val="22"/>
        </w:rPr>
        <w:t xml:space="preserve"> aparece uma única vez, no </w:t>
      </w:r>
      <w:r>
        <w:rPr>
          <w:rFonts w:ascii="Consolas" w:hAnsi="Consolas"/>
          <w:b w:val="0"/>
          <w:i w:val="0"/>
          <w:color w:val="8B1A3A"/>
          <w:sz w:val="21"/>
        </w:rPr>
        <w:t>ms-producao</w:t>
      </w:r>
      <w:r>
        <w:rPr>
          <w:b w:val="0"/>
          <w:i w:val="0"/>
          <w:sz w:val="22"/>
        </w:rPr>
        <w:t>, conforme a regra 1 da seção 1.1.1.</w:t>
      </w:r>
    </w:p>
    <w:p>
      <w:pPr>
        <w:pStyle w:val="Heading2"/>
      </w:pPr>
      <w:r>
        <w:rPr>
          <w:b w:val="0"/>
          <w:i w:val="0"/>
          <w:sz w:val="22"/>
        </w:rPr>
        <w:t>1.2 Fronteiras de domínio</w:t>
      </w:r>
    </w:p>
    <w:p>
      <w:r>
        <w:rPr>
          <w:b w:val="0"/>
          <w:i w:val="0"/>
          <w:sz w:val="22"/>
        </w:rPr>
        <w:t xml:space="preserve">Cada corte que propomos aqui delimita o que a literatura de DDD chama de </w:t>
      </w:r>
      <w:r>
        <w:rPr>
          <w:b w:val="0"/>
          <w:i/>
          <w:sz w:val="22"/>
        </w:rPr>
        <w:t>Bounded Context</w:t>
      </w:r>
      <w:r>
        <w:rPr>
          <w:b w:val="0"/>
          <w:i w:val="0"/>
          <w:sz w:val="22"/>
        </w:rPr>
        <w:t>: um pedaço do sistema com vocabulário e regras próprias, que muda no seu próprio ritmo. Por isso ele não deveria dividir tabela, deploy nem time com o vizinho.</w:t>
      </w:r>
    </w:p>
    <w:p>
      <w:r>
        <w:rPr>
          <w:b w:val="0"/>
          <w:i w:val="0"/>
          <w:sz w:val="22"/>
        </w:rPr>
        <w:t xml:space="preserve">O que existe hoje no repositório é o contraexemplo do recorte que queremos: em </w:t>
      </w:r>
      <w:r>
        <w:rPr>
          <w:rFonts w:ascii="Consolas" w:hAnsi="Consolas"/>
          <w:b w:val="0"/>
          <w:i w:val="0"/>
          <w:color w:val="8B1A3A"/>
          <w:sz w:val="21"/>
        </w:rPr>
        <w:t>Web/src/main/java/br/com/fiap/vinheriaagnello/</w:t>
      </w:r>
      <w:r>
        <w:rPr>
          <w:b w:val="0"/>
          <w:i w:val="0"/>
          <w:sz w:val="22"/>
        </w:rPr>
        <w:t>, o catálogo (</w:t>
      </w:r>
      <w:r>
        <w:rPr>
          <w:rFonts w:ascii="Consolas" w:hAnsi="Consolas"/>
          <w:b w:val="0"/>
          <w:i w:val="0"/>
          <w:color w:val="8B1A3A"/>
          <w:sz w:val="21"/>
        </w:rPr>
        <w:t>web/VitrineServlet.java</w:t>
      </w:r>
      <w:r>
        <w:rPr>
          <w:b w:val="0"/>
          <w:i w:val="0"/>
          <w:sz w:val="22"/>
        </w:rPr>
        <w:t xml:space="preserve">, </w:t>
      </w:r>
      <w:r>
        <w:rPr>
          <w:rFonts w:ascii="Consolas" w:hAnsi="Consolas"/>
          <w:b w:val="0"/>
          <w:i w:val="0"/>
          <w:color w:val="8B1A3A"/>
          <w:sz w:val="21"/>
        </w:rPr>
        <w:t>web/VinhoServlet.java</w:t>
      </w:r>
      <w:r>
        <w:rPr>
          <w:b w:val="0"/>
          <w:i w:val="0"/>
          <w:sz w:val="22"/>
        </w:rPr>
        <w:t>) e o cadastro de clientes (</w:t>
      </w:r>
      <w:r>
        <w:rPr>
          <w:rFonts w:ascii="Consolas" w:hAnsi="Consolas"/>
          <w:b w:val="0"/>
          <w:i w:val="0"/>
          <w:color w:val="8B1A3A"/>
          <w:sz w:val="21"/>
        </w:rPr>
        <w:t>web/ClienteCadastroServlet.java</w:t>
      </w:r>
      <w:r>
        <w:rPr>
          <w:b w:val="0"/>
          <w:i w:val="0"/>
          <w:sz w:val="22"/>
        </w:rPr>
        <w:t xml:space="preserve">) compartilham o mesmo </w:t>
      </w:r>
      <w:r>
        <w:rPr>
          <w:rFonts w:ascii="Consolas" w:hAnsi="Consolas"/>
          <w:b w:val="0"/>
          <w:i w:val="0"/>
          <w:color w:val="8B1A3A"/>
          <w:sz w:val="21"/>
        </w:rPr>
        <w:t>repository/InMemoryDatabase.java</w:t>
      </w:r>
      <w:r>
        <w:rPr>
          <w:b w:val="0"/>
          <w:i w:val="0"/>
          <w:sz w:val="22"/>
        </w:rPr>
        <w:t xml:space="preserve"> e os mesmos modelos de </w:t>
      </w:r>
      <w:r>
        <w:rPr>
          <w:rFonts w:ascii="Consolas" w:hAnsi="Consolas"/>
          <w:b w:val="0"/>
          <w:i w:val="0"/>
          <w:color w:val="8B1A3A"/>
          <w:sz w:val="21"/>
        </w:rPr>
        <w:t>model/</w:t>
      </w:r>
      <w:r>
        <w:rPr>
          <w:b w:val="0"/>
          <w:i w:val="0"/>
          <w:sz w:val="22"/>
        </w:rPr>
        <w:t xml:space="preserve"> — mexer na vitrine obriga a testar o cadastro. Cada fronteira abaixo existe para não repetir esse acoplamento em escala de serviço. Os critérios usados em cada corte estão descritos a seguir — os 12 serviços aparecem justificados.</w:t>
      </w:r>
    </w:p>
    <w:p>
      <w:pPr>
        <w:pStyle w:val="ListBullet"/>
      </w:pPr>
      <w:r>
        <w:rPr>
          <w:b/>
          <w:i w:val="0"/>
          <w:sz w:val="22"/>
        </w:rPr>
        <w:t>Catálogo e lotes parecem parecidos, mas mudam por razões diferentes.</w:t>
      </w:r>
      <w:r>
        <w:rPr>
          <w:b w:val="0"/>
          <w:i w:val="0"/>
          <w:sz w:val="22"/>
        </w:rPr>
        <w:t xml:space="preserve"> O catálogo (</w:t>
      </w:r>
      <w:r>
        <w:rPr>
          <w:rFonts w:ascii="Consolas" w:hAnsi="Consolas"/>
          <w:b w:val="0"/>
          <w:i w:val="0"/>
          <w:color w:val="8B1A3A"/>
          <w:sz w:val="21"/>
        </w:rPr>
        <w:t>ms-catalogo</w:t>
      </w:r>
      <w:r>
        <w:rPr>
          <w:b w:val="0"/>
          <w:i w:val="0"/>
          <w:sz w:val="22"/>
        </w:rPr>
        <w:t>) muda por motivo comercial, como uma safra nova em destaque ou uma ficha de harmonização reescrita. Lotes (</w:t>
      </w:r>
      <w:r>
        <w:rPr>
          <w:rFonts w:ascii="Consolas" w:hAnsi="Consolas"/>
          <w:b w:val="0"/>
          <w:i w:val="0"/>
          <w:color w:val="8B1A3A"/>
          <w:sz w:val="21"/>
        </w:rPr>
        <w:t>ms-lotes</w:t>
      </w:r>
      <w:r>
        <w:rPr>
          <w:b w:val="0"/>
          <w:i w:val="0"/>
          <w:sz w:val="22"/>
        </w:rPr>
        <w:t>) muda por exigência regulatória, ligada à rastreabilidade do vinho. Juntar os dois num módulo só faria o time comercial testar regra fiscal toda vez que trocasse uma foto de produto.</w:t>
      </w:r>
    </w:p>
    <w:p>
      <w:pPr>
        <w:pStyle w:val="ListBullet"/>
      </w:pPr>
      <w:r>
        <w:rPr>
          <w:b/>
          <w:i w:val="0"/>
          <w:sz w:val="22"/>
        </w:rPr>
        <w:t>Produção × Qualidade.</w:t>
      </w:r>
      <w:r>
        <w:rPr>
          <w:b w:val="0"/>
          <w:i w:val="0"/>
          <w:sz w:val="22"/>
        </w:rPr>
        <w:t xml:space="preserve"> Um decide o que produzir e quando (</w:t>
      </w:r>
      <w:r>
        <w:rPr>
          <w:rFonts w:ascii="Consolas" w:hAnsi="Consolas"/>
          <w:b w:val="0"/>
          <w:i w:val="0"/>
          <w:color w:val="8B1A3A"/>
          <w:sz w:val="21"/>
        </w:rPr>
        <w:t>ms-producao</w:t>
      </w:r>
      <w:r>
        <w:rPr>
          <w:b w:val="0"/>
          <w:i w:val="0"/>
          <w:sz w:val="22"/>
        </w:rPr>
        <w:t>). O outro mede se o que já foi produzido está dentro do padrão prometido (</w:t>
      </w:r>
      <w:r>
        <w:rPr>
          <w:rFonts w:ascii="Consolas" w:hAnsi="Consolas"/>
          <w:b w:val="0"/>
          <w:i w:val="0"/>
          <w:color w:val="8B1A3A"/>
          <w:sz w:val="21"/>
        </w:rPr>
        <w:t>ms-qualidade</w:t>
      </w:r>
      <w:r>
        <w:rPr>
          <w:b w:val="0"/>
          <w:i w:val="0"/>
          <w:sz w:val="22"/>
        </w:rPr>
        <w:t>). A diferença de frequência é grande: a telemetria dos sensores gera uma leitura a cada poucos segundos, um volume que não faz sentido impor ao modelo transacional, bem mais lento, da produção.</w:t>
      </w:r>
    </w:p>
    <w:p>
      <w:pPr>
        <w:pStyle w:val="ListBullet"/>
      </w:pPr>
      <w:r>
        <w:rPr>
          <w:b/>
          <w:i w:val="0"/>
          <w:sz w:val="22"/>
        </w:rPr>
        <w:t>Estoque e pedidos guardam verdades diferentes.</w:t>
      </w:r>
      <w:r>
        <w:rPr>
          <w:b w:val="0"/>
          <w:i w:val="0"/>
          <w:sz w:val="22"/>
        </w:rPr>
        <w:t xml:space="preserve"> O estoque (</w:t>
      </w:r>
      <w:r>
        <w:rPr>
          <w:rFonts w:ascii="Consolas" w:hAnsi="Consolas"/>
          <w:b w:val="0"/>
          <w:i w:val="0"/>
          <w:color w:val="8B1A3A"/>
          <w:sz w:val="21"/>
        </w:rPr>
        <w:t>ms-estoque</w:t>
      </w:r>
      <w:r>
        <w:rPr>
          <w:b w:val="0"/>
          <w:i w:val="0"/>
          <w:sz w:val="22"/>
        </w:rPr>
        <w:t>) sabe quanto existe de fato na adega. Pedidos (</w:t>
      </w:r>
      <w:r>
        <w:rPr>
          <w:rFonts w:ascii="Consolas" w:hAnsi="Consolas"/>
          <w:b w:val="0"/>
          <w:i w:val="0"/>
          <w:color w:val="8B1A3A"/>
          <w:sz w:val="21"/>
        </w:rPr>
        <w:t>ms-pedidos</w:t>
      </w:r>
      <w:r>
        <w:rPr>
          <w:b w:val="0"/>
          <w:i w:val="0"/>
          <w:sz w:val="22"/>
        </w:rPr>
        <w:t>) sabe quanto já foi prometido a algum cliente. Se fossem o mesmo serviço, um pico de acesso ao catálogo em data comemorativa passaria a competir, na mesma escala, com a escrita do estoque, que não pode errar.</w:t>
      </w:r>
    </w:p>
    <w:p>
      <w:pPr>
        <w:pStyle w:val="ListBullet"/>
      </w:pPr>
      <w:r>
        <w:rPr>
          <w:b/>
          <w:i w:val="0"/>
          <w:sz w:val="22"/>
        </w:rPr>
        <w:t>Pagamentos isolado.</w:t>
      </w:r>
      <w:r>
        <w:rPr>
          <w:b w:val="0"/>
          <w:i w:val="0"/>
          <w:sz w:val="22"/>
        </w:rPr>
        <w:t xml:space="preserve"> Cobrança, conciliação e estorno lidam com dado sensível e exigem trilha de auditoria própria, no padrão PCI-DSS. Não há razão para replicar essa exigência em outro contexto. Isolar tudo em </w:t>
      </w:r>
      <w:r>
        <w:rPr>
          <w:rFonts w:ascii="Consolas" w:hAnsi="Consolas"/>
          <w:b w:val="0"/>
          <w:i w:val="0"/>
          <w:color w:val="8B1A3A"/>
          <w:sz w:val="21"/>
        </w:rPr>
        <w:t>ms-pagamentos</w:t>
      </w:r>
      <w:r>
        <w:rPr>
          <w:b w:val="0"/>
          <w:i w:val="0"/>
          <w:sz w:val="22"/>
        </w:rPr>
        <w:t xml:space="preserve"> limita a um único serviço o raio de exposição desse dado.</w:t>
      </w:r>
    </w:p>
    <w:p>
      <w:pPr>
        <w:pStyle w:val="ListBullet"/>
      </w:pPr>
      <w:r>
        <w:rPr>
          <w:b/>
          <w:i w:val="0"/>
          <w:sz w:val="22"/>
        </w:rPr>
        <w:t>Compras e recebimento × estoque.</w:t>
      </w:r>
      <w:r>
        <w:rPr>
          <w:b w:val="0"/>
          <w:i w:val="0"/>
          <w:sz w:val="22"/>
        </w:rPr>
        <w:t xml:space="preserve"> </w:t>
      </w:r>
      <w:r>
        <w:rPr>
          <w:rFonts w:ascii="Consolas" w:hAnsi="Consolas"/>
          <w:b w:val="0"/>
          <w:i w:val="0"/>
          <w:color w:val="8B1A3A"/>
          <w:sz w:val="21"/>
        </w:rPr>
        <w:t>ms-fornecedores</w:t>
      </w:r>
      <w:r>
        <w:rPr>
          <w:b w:val="0"/>
          <w:i w:val="0"/>
          <w:sz w:val="22"/>
        </w:rPr>
        <w:t xml:space="preserve"> é dono do documento de compra (</w:t>
      </w:r>
      <w:r>
        <w:rPr>
          <w:rFonts w:ascii="Consolas" w:hAnsi="Consolas"/>
          <w:b w:val="0"/>
          <w:i w:val="0"/>
          <w:color w:val="8B1A3A"/>
          <w:sz w:val="21"/>
        </w:rPr>
        <w:t>PedidoCompra</w:t>
      </w:r>
      <w:r>
        <w:rPr>
          <w:b w:val="0"/>
          <w:i w:val="0"/>
          <w:sz w:val="22"/>
        </w:rPr>
        <w:t xml:space="preserve">) e do </w:t>
      </w:r>
      <w:r>
        <w:rPr>
          <w:rFonts w:ascii="Consolas" w:hAnsi="Consolas"/>
          <w:b w:val="0"/>
          <w:i w:val="0"/>
          <w:color w:val="8B1A3A"/>
          <w:sz w:val="21"/>
        </w:rPr>
        <w:t>Recebimento</w:t>
      </w:r>
      <w:r>
        <w:rPr>
          <w:b w:val="0"/>
          <w:i w:val="0"/>
          <w:sz w:val="22"/>
        </w:rPr>
        <w:t xml:space="preserve"> — a conferência física do que chegou, com preço e divergência. </w:t>
      </w:r>
      <w:r>
        <w:rPr>
          <w:rFonts w:ascii="Consolas" w:hAnsi="Consolas"/>
          <w:b w:val="0"/>
          <w:i w:val="0"/>
          <w:color w:val="8B1A3A"/>
          <w:sz w:val="21"/>
        </w:rPr>
        <w:t>ms-estoque</w:t>
      </w:r>
      <w:r>
        <w:rPr>
          <w:b w:val="0"/>
          <w:i w:val="0"/>
          <w:sz w:val="22"/>
        </w:rPr>
        <w:t xml:space="preserve"> é dono da posição e do movimento. São verdades com donos diferentes: uma compra pode estar recebida e ainda não movimentada, e o inverso nunca pode acontecer. Por isso o movimento de entrada é escrito só pelo </w:t>
      </w:r>
      <w:r>
        <w:rPr>
          <w:rFonts w:ascii="Consolas" w:hAnsi="Consolas"/>
          <w:b w:val="0"/>
          <w:i w:val="0"/>
          <w:color w:val="8B1A3A"/>
          <w:sz w:val="21"/>
        </w:rPr>
        <w:t>ms-estoque</w:t>
      </w:r>
      <w:r>
        <w:rPr>
          <w:b w:val="0"/>
          <w:i w:val="0"/>
          <w:sz w:val="22"/>
        </w:rPr>
        <w:t>, a partir do evento de recebimento.</w:t>
      </w:r>
    </w:p>
    <w:p>
      <w:pPr>
        <w:pStyle w:val="ListBullet"/>
      </w:pPr>
      <w:r>
        <w:rPr>
          <w:b/>
          <w:i w:val="0"/>
          <w:sz w:val="22"/>
        </w:rPr>
        <w:t>Fornecedores × pedidos.</w:t>
      </w:r>
      <w:r>
        <w:rPr>
          <w:b w:val="0"/>
          <w:i w:val="0"/>
          <w:sz w:val="22"/>
        </w:rPr>
        <w:t xml:space="preserve"> </w:t>
      </w:r>
      <w:r>
        <w:rPr>
          <w:rFonts w:ascii="Consolas" w:hAnsi="Consolas"/>
          <w:b w:val="0"/>
          <w:i w:val="0"/>
          <w:color w:val="8B1A3A"/>
          <w:sz w:val="21"/>
        </w:rPr>
        <w:t>PedidoCompra</w:t>
      </w:r>
      <w:r>
        <w:rPr>
          <w:b w:val="0"/>
          <w:i w:val="0"/>
          <w:sz w:val="22"/>
        </w:rPr>
        <w:t xml:space="preserve"> (suprimento: fornecedor, custo, prazo de entrega) e </w:t>
      </w:r>
      <w:r>
        <w:rPr>
          <w:rFonts w:ascii="Consolas" w:hAnsi="Consolas"/>
          <w:b w:val="0"/>
          <w:i w:val="0"/>
          <w:color w:val="8B1A3A"/>
          <w:sz w:val="21"/>
        </w:rPr>
        <w:t>Pedido</w:t>
      </w:r>
      <w:r>
        <w:rPr>
          <w:b w:val="0"/>
          <w:i w:val="0"/>
          <w:sz w:val="22"/>
        </w:rPr>
        <w:t xml:space="preserve"> (venda: cliente, receita, entrega) têm ciclos, indicadores e interlocutores distintos. Chamar os dois de "pedido" no mesmo serviço é o caminho mais curto para relatório de compra entrando no faturamento — por isso o nome </w:t>
      </w:r>
      <w:r>
        <w:rPr>
          <w:rFonts w:ascii="Consolas" w:hAnsi="Consolas"/>
          <w:b w:val="0"/>
          <w:i w:val="0"/>
          <w:color w:val="8B1A3A"/>
          <w:sz w:val="21"/>
        </w:rPr>
        <w:t>PedidoCompra</w:t>
      </w:r>
      <w:r>
        <w:rPr>
          <w:b w:val="0"/>
          <w:i w:val="0"/>
          <w:sz w:val="22"/>
        </w:rPr>
        <w:t xml:space="preserve"> fica no </w:t>
      </w:r>
      <w:r>
        <w:rPr>
          <w:rFonts w:ascii="Consolas" w:hAnsi="Consolas"/>
          <w:b w:val="0"/>
          <w:i w:val="0"/>
          <w:color w:val="8B1A3A"/>
          <w:sz w:val="21"/>
        </w:rPr>
        <w:t>ms-fornecedores</w:t>
      </w:r>
      <w:r>
        <w:rPr>
          <w:b w:val="0"/>
          <w:i w:val="0"/>
          <w:sz w:val="22"/>
        </w:rPr>
        <w:t xml:space="preserve"> e o </w:t>
      </w:r>
      <w:r>
        <w:rPr>
          <w:rFonts w:ascii="Consolas" w:hAnsi="Consolas"/>
          <w:b w:val="0"/>
          <w:i w:val="0"/>
          <w:color w:val="8B1A3A"/>
          <w:sz w:val="21"/>
        </w:rPr>
        <w:t>Pedido</w:t>
      </w:r>
      <w:r>
        <w:rPr>
          <w:b w:val="0"/>
          <w:i w:val="0"/>
          <w:sz w:val="22"/>
        </w:rPr>
        <w:t xml:space="preserve"> no </w:t>
      </w:r>
      <w:r>
        <w:rPr>
          <w:rFonts w:ascii="Consolas" w:hAnsi="Consolas"/>
          <w:b w:val="0"/>
          <w:i w:val="0"/>
          <w:color w:val="8B1A3A"/>
          <w:sz w:val="21"/>
        </w:rPr>
        <w:t>ms-pedidos</w:t>
      </w:r>
      <w:r>
        <w:rPr>
          <w:b w:val="0"/>
          <w:i w:val="0"/>
          <w:sz w:val="22"/>
        </w:rPr>
        <w:t>.</w:t>
      </w:r>
    </w:p>
    <w:p>
      <w:pPr>
        <w:pStyle w:val="ListBullet"/>
      </w:pPr>
      <w:r>
        <w:rPr>
          <w:b/>
          <w:i w:val="0"/>
          <w:sz w:val="22"/>
        </w:rPr>
        <w:t>Clientes × Identidade.</w:t>
      </w:r>
      <w:r>
        <w:rPr>
          <w:b w:val="0"/>
          <w:i w:val="0"/>
          <w:sz w:val="22"/>
        </w:rPr>
        <w:t xml:space="preserve"> Dado de cliente é negócio: cadastro, perfil e consentimento LGPD, que muda quando o cliente quer, com obrigação legal de exclusão. Credencial, papel e token são plataforma: mudam quando a política de segurança muda. Se fossem o mesmo serviço, uma alteração de política de senha passaria a mexer no cadastro comercial e o consentimento LGPD ficaria no caminho crítico do login.</w:t>
      </w:r>
    </w:p>
    <w:p>
      <w:pPr>
        <w:pStyle w:val="ListBullet"/>
      </w:pPr>
      <w:r>
        <w:rPr>
          <w:b/>
          <w:i w:val="0"/>
          <w:sz w:val="22"/>
        </w:rPr>
        <w:t>Identidade e notificações não carregam nenhuma regra de negócio da vinícola:</w:t>
      </w:r>
      <w:r>
        <w:rPr>
          <w:b w:val="0"/>
          <w:i w:val="0"/>
          <w:sz w:val="22"/>
        </w:rPr>
        <w:t xml:space="preserve"> são capacidades de plataforma, usadas por qualquer domínio. Por isso viraram satélites, e não núcleo — assim evitamos a tentação de grudar autenticação ou envio de e-mail na lógica de um domínio específico.</w:t>
      </w:r>
    </w:p>
    <w:p>
      <w:pPr>
        <w:pStyle w:val="ListBullet"/>
      </w:pPr>
      <w:r>
        <w:rPr>
          <w:b/>
          <w:i w:val="0"/>
          <w:sz w:val="22"/>
        </w:rPr>
        <w:t>Analytics também é satélite, e lê, não escreve.</w:t>
      </w:r>
      <w:r>
        <w:rPr>
          <w:b w:val="0"/>
          <w:i w:val="0"/>
          <w:sz w:val="22"/>
        </w:rPr>
        <w:t xml:space="preserve"> </w:t>
      </w:r>
      <w:r>
        <w:rPr>
          <w:rFonts w:ascii="Consolas" w:hAnsi="Consolas"/>
          <w:b w:val="0"/>
          <w:i w:val="0"/>
          <w:color w:val="8B1A3A"/>
          <w:sz w:val="21"/>
        </w:rPr>
        <w:t>ms-analytics</w:t>
      </w:r>
      <w:r>
        <w:rPr>
          <w:b w:val="0"/>
          <w:i w:val="0"/>
          <w:sz w:val="22"/>
        </w:rPr>
        <w:t xml:space="preserve"> consolida indicadores a partir de eventos dos domínios e é dono apenas do indicador consolidado e do modelo de previsão. Se fosse núcleo, toda decisão de BI viraria dependência do caminho transacional — e um dashboard pesado poderia derrubar venda.</w:t>
      </w:r>
    </w:p>
    <w:p>
      <w:pPr>
        <w:pStyle w:val="Heading2"/>
      </w:pPr>
      <w:r>
        <w:rPr>
          <w:b w:val="0"/>
          <w:i w:val="0"/>
          <w:sz w:val="22"/>
        </w:rPr>
        <w:t>1.3 O que NÃO vira microsserviço (e por quê)</w:t>
      </w:r>
    </w:p>
    <w:p>
      <w:r>
        <w:rPr>
          <w:b w:val="0"/>
          <w:i w:val="0"/>
          <w:sz w:val="22"/>
        </w:rPr>
        <w:t>Um recorte generoso demais tem custo real: dilui responsabilidade e multiplica chamada de rede sem ganhar coesão em troca. Por isso descartamos de propósito os itens a seguir como serviços independentes.</w:t>
      </w:r>
    </w:p>
    <w:p>
      <w:pPr>
        <w:pStyle w:val="ListBullet"/>
      </w:pPr>
      <w:r>
        <w:rPr>
          <w:b/>
          <w:i w:val="0"/>
          <w:sz w:val="22"/>
        </w:rPr>
        <w:t>Categoria isolada.</w:t>
      </w:r>
      <w:r>
        <w:rPr>
          <w:b w:val="0"/>
          <w:i w:val="0"/>
          <w:sz w:val="22"/>
        </w:rPr>
        <w:t xml:space="preserve"> Tem poucos valores e quase nunca muda. Transformá-la num serviço à parte criaria uma chamada de rede para responder a algo que uma tabela de referência dentro do </w:t>
      </w:r>
      <w:r>
        <w:rPr>
          <w:rFonts w:ascii="Consolas" w:hAnsi="Consolas"/>
          <w:b w:val="0"/>
          <w:i w:val="0"/>
          <w:color w:val="8B1A3A"/>
          <w:sz w:val="21"/>
        </w:rPr>
        <w:t>ms-catalogo</w:t>
      </w:r>
      <w:r>
        <w:rPr>
          <w:b w:val="0"/>
          <w:i w:val="0"/>
          <w:sz w:val="22"/>
        </w:rPr>
        <w:t xml:space="preserve"> resolve sozinha. É o caso do </w:t>
      </w:r>
      <w:r>
        <w:rPr>
          <w:rFonts w:ascii="Consolas" w:hAnsi="Consolas"/>
          <w:b w:val="0"/>
          <w:i w:val="0"/>
          <w:color w:val="8B1A3A"/>
          <w:sz w:val="21"/>
        </w:rPr>
        <w:t>Categoria.cs</w:t>
      </w:r>
      <w:r>
        <w:rPr>
          <w:b w:val="0"/>
          <w:i w:val="0"/>
          <w:sz w:val="22"/>
        </w:rPr>
        <w:t xml:space="preserve"> atual.</w:t>
      </w:r>
    </w:p>
    <w:p>
      <w:pPr>
        <w:pStyle w:val="ListBullet"/>
      </w:pPr>
      <w:r>
        <w:rPr>
          <w:b/>
          <w:i w:val="0"/>
          <w:sz w:val="22"/>
        </w:rPr>
        <w:t>A genealogia do lote não é um contexto de negócio à parte.</w:t>
      </w:r>
      <w:r>
        <w:rPr>
          <w:b w:val="0"/>
          <w:i w:val="0"/>
          <w:sz w:val="22"/>
        </w:rPr>
        <w:t xml:space="preserve"> É só uma faceta do dado, um relacionamento entre lotes, e cabe perfeitamente dentro do </w:t>
      </w:r>
      <w:r>
        <w:rPr>
          <w:rFonts w:ascii="Consolas" w:hAnsi="Consolas"/>
          <w:b w:val="0"/>
          <w:i w:val="0"/>
          <w:color w:val="8B1A3A"/>
          <w:sz w:val="21"/>
        </w:rPr>
        <w:t>ms-lotes</w:t>
      </w:r>
      <w:r>
        <w:rPr>
          <w:b w:val="0"/>
          <w:i w:val="0"/>
          <w:sz w:val="22"/>
        </w:rPr>
        <w:t>.</w:t>
      </w:r>
    </w:p>
    <w:p>
      <w:pPr>
        <w:pStyle w:val="ListBullet"/>
      </w:pPr>
      <w:r>
        <w:rPr>
          <w:b/>
          <w:i w:val="0"/>
          <w:sz w:val="22"/>
        </w:rPr>
        <w:t>Camada de apresentação.</w:t>
      </w:r>
      <w:r>
        <w:rPr>
          <w:b w:val="0"/>
          <w:i w:val="0"/>
          <w:sz w:val="22"/>
        </w:rPr>
        <w:t xml:space="preserve"> O monolito </w:t>
      </w:r>
      <w:r>
        <w:rPr>
          <w:rFonts w:ascii="Consolas" w:hAnsi="Consolas"/>
          <w:b w:val="0"/>
          <w:i w:val="0"/>
          <w:color w:val="8B1A3A"/>
          <w:sz w:val="21"/>
        </w:rPr>
        <w:t>Web/src/main/java/br/com/fiap/vinheriaagnello/</w:t>
      </w:r>
      <w:r>
        <w:rPr>
          <w:b w:val="0"/>
          <w:i w:val="0"/>
          <w:sz w:val="22"/>
        </w:rPr>
        <w:t xml:space="preserve"> (Servlet/JSP) e o app Android em </w:t>
      </w:r>
      <w:r>
        <w:rPr>
          <w:rFonts w:ascii="Consolas" w:hAnsi="Consolas"/>
          <w:b w:val="0"/>
          <w:i w:val="0"/>
          <w:color w:val="8B1A3A"/>
          <w:sz w:val="21"/>
        </w:rPr>
        <w:t>Mobile/app/src/main/java/com/example/myapplication/</w:t>
      </w:r>
      <w:r>
        <w:rPr>
          <w:b w:val="0"/>
          <w:i w:val="0"/>
          <w:sz w:val="22"/>
        </w:rPr>
        <w:t xml:space="preserve"> continuam existindo, só que agora como clientes dos microsserviços (ou, no limite, um BFF, sigla de </w:t>
      </w:r>
      <w:r>
        <w:rPr>
          <w:b w:val="0"/>
          <w:i/>
          <w:sz w:val="22"/>
        </w:rPr>
        <w:t>Backend-for-Frontend</w:t>
      </w:r>
      <w:r>
        <w:rPr>
          <w:b w:val="0"/>
          <w:i w:val="0"/>
          <w:sz w:val="22"/>
        </w:rPr>
        <w:t xml:space="preserve">). Como não são donos de regra de negócio nem de dado, não entram nesta lista. A validação de sessão que hoje está em </w:t>
      </w:r>
      <w:r>
        <w:rPr>
          <w:rFonts w:ascii="Consolas" w:hAnsi="Consolas"/>
          <w:b w:val="0"/>
          <w:i w:val="0"/>
          <w:color w:val="8B1A3A"/>
          <w:sz w:val="21"/>
        </w:rPr>
        <w:t>AuthFilter.java</w:t>
      </w:r>
      <w:r>
        <w:rPr>
          <w:b w:val="0"/>
          <w:i w:val="0"/>
          <w:sz w:val="22"/>
        </w:rPr>
        <w:t xml:space="preserve"> migra para o API Gateway.</w:t>
      </w:r>
    </w:p>
    <w:p>
      <w:pPr>
        <w:pStyle w:val="ListBullet"/>
      </w:pPr>
      <w:r>
        <w:rPr>
          <w:b/>
          <w:i w:val="0"/>
          <w:sz w:val="22"/>
        </w:rPr>
        <w:t>O Node-RED segue fazendo o que já faz hoje:</w:t>
      </w:r>
      <w:r>
        <w:rPr>
          <w:b w:val="0"/>
          <w:i w:val="0"/>
          <w:sz w:val="22"/>
        </w:rPr>
        <w:t xml:space="preserve"> traduzir e repassar telemetria do broker MQTT para o </w:t>
      </w:r>
      <w:r>
        <w:rPr>
          <w:rFonts w:ascii="Consolas" w:hAnsi="Consolas"/>
          <w:b w:val="0"/>
          <w:i w:val="0"/>
          <w:color w:val="8B1A3A"/>
          <w:sz w:val="21"/>
        </w:rPr>
        <w:t>ms-qualidade</w:t>
      </w:r>
      <w:r>
        <w:rPr>
          <w:b w:val="0"/>
          <w:i w:val="0"/>
          <w:sz w:val="22"/>
        </w:rPr>
        <w:t xml:space="preserve">, conforme </w:t>
      </w:r>
      <w:r>
        <w:rPr>
          <w:rFonts w:ascii="Consolas" w:hAnsi="Consolas"/>
          <w:b w:val="0"/>
          <w:i w:val="0"/>
          <w:color w:val="8B1A3A"/>
          <w:sz w:val="21"/>
        </w:rPr>
        <w:t>MQTT/node_red_vinheria_flow.json</w:t>
      </w:r>
      <w:r>
        <w:rPr>
          <w:b w:val="0"/>
          <w:i w:val="0"/>
          <w:sz w:val="22"/>
        </w:rPr>
        <w:t xml:space="preserve"> e </w:t>
      </w:r>
      <w:r>
        <w:rPr>
          <w:rFonts w:ascii="Consolas" w:hAnsi="Consolas"/>
          <w:b w:val="0"/>
          <w:i w:val="0"/>
          <w:color w:val="8B1A3A"/>
          <w:sz w:val="21"/>
        </w:rPr>
        <w:t>MQTT/README_MQTT.md</w:t>
      </w:r>
      <w:r>
        <w:rPr>
          <w:b w:val="0"/>
          <w:i w:val="0"/>
          <w:sz w:val="22"/>
        </w:rPr>
        <w:t>. Não tem domínio de negócio nem dado próprio, então continua sendo infraestrutura de integração, não um serviço.</w:t>
      </w:r>
    </w:p>
    <w:p>
      <w:pPr>
        <w:pStyle w:val="ListBullet"/>
      </w:pPr>
      <w:r>
        <w:rPr>
          <w:b/>
          <w:i w:val="0"/>
          <w:sz w:val="22"/>
        </w:rPr>
        <w:t xml:space="preserve">Um </w:t>
      </w:r>
      <w:r>
        <w:rPr>
          <w:rFonts w:ascii="Consolas" w:hAnsi="Consolas"/>
          <w:b/>
          <w:i w:val="0"/>
          <w:color w:val="8B1A3A"/>
          <w:sz w:val="21"/>
        </w:rPr>
        <w:t>ms-relatorios</w:t>
      </w:r>
      <w:r>
        <w:rPr>
          <w:b/>
          <w:i w:val="0"/>
          <w:sz w:val="22"/>
        </w:rPr>
        <w:t xml:space="preserve"> à parte.</w:t>
      </w:r>
      <w:r>
        <w:rPr>
          <w:b w:val="0"/>
          <w:i w:val="0"/>
          <w:sz w:val="22"/>
        </w:rPr>
        <w:t xml:space="preserve"> Duplicaria a posse de um dado que já pertence ao </w:t>
      </w:r>
      <w:r>
        <w:rPr>
          <w:rFonts w:ascii="Consolas" w:hAnsi="Consolas"/>
          <w:b w:val="0"/>
          <w:i w:val="0"/>
          <w:color w:val="8B1A3A"/>
          <w:sz w:val="21"/>
        </w:rPr>
        <w:t>ms-analytics</w:t>
      </w:r>
      <w:r>
        <w:rPr>
          <w:b w:val="0"/>
          <w:i w:val="0"/>
          <w:sz w:val="22"/>
        </w:rPr>
        <w:t>. Um relatório é só uma forma de exibir a mesma informação analítica, não um contexto de negócio novo.</w:t>
      </w:r>
    </w:p>
    <w:p>
      <w:pPr>
        <w:pStyle w:val="ListBullet"/>
      </w:pPr>
      <w:r>
        <w:rPr>
          <w:b/>
          <w:i w:val="0"/>
          <w:sz w:val="22"/>
        </w:rPr>
        <w:t xml:space="preserve">Separar o carrinho do </w:t>
      </w:r>
      <w:r>
        <w:rPr>
          <w:rFonts w:ascii="Consolas" w:hAnsi="Consolas"/>
          <w:b/>
          <w:i w:val="0"/>
          <w:color w:val="8B1A3A"/>
          <w:sz w:val="21"/>
        </w:rPr>
        <w:t>ms-pedidos</w:t>
      </w:r>
      <w:r>
        <w:rPr>
          <w:b/>
          <w:i w:val="0"/>
          <w:sz w:val="22"/>
        </w:rPr>
        <w:t xml:space="preserve"> também não se justifica agora.</w:t>
      </w:r>
      <w:r>
        <w:rPr>
          <w:b w:val="0"/>
          <w:i w:val="0"/>
          <w:sz w:val="22"/>
        </w:rPr>
        <w:t xml:space="preserve"> O carrinho é um estado efêmero, anterior à transação, do mesmo agregado do pedido; isolá-lo cedo criaria consistência distribuída sem ganho real, um YAGNI clássico nesta fase do projeto.</w:t>
      </w:r>
    </w:p>
    <w:p>
      <w:pPr>
        <w:pStyle w:val="Heading2"/>
      </w:pPr>
      <w:r>
        <w:rPr>
          <w:b w:val="0"/>
          <w:i w:val="0"/>
          <w:sz w:val="22"/>
        </w:rPr>
        <w:t>1.4 Do repositório ao serviço</w:t>
      </w:r>
    </w:p>
    <w:p>
      <w:r>
        <w:rPr>
          <w:b w:val="0"/>
          <w:i w:val="0"/>
          <w:sz w:val="22"/>
        </w:rPr>
        <w:t>Nada disso veio de teoria abstrata. Cada corte foi ancorado em algo que o grupo já tinha construído, e a tabela abaixo mostra de onde veio cada decisão, com o caminho do arquivo no repositório.</w:t>
      </w:r>
    </w:p>
    <w:p>
      <w:pPr>
        <w:keepNext/>
        <w:spacing w:after="60" w:before="0"/>
        <w:jc w:val="left"/>
      </w:pPr>
      <w:r>
        <w:rPr>
          <w:b w:val="0"/>
          <w:i/>
          <w:color w:val="595959"/>
          <w:sz w:val="19"/>
        </w:rPr>
        <w:t>Tabela 4 — Do repositório ao serviço: artefato existente e serviço herdeiro</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535"/>
            <w:shd w:val="clear" w:fill="F4E7EB"/>
          </w:tcPr>
          <w:p>
            <w:pPr>
              <w:spacing w:after="0"/>
              <w:jc w:val="left"/>
            </w:pPr>
            <w:r>
              <w:rPr>
                <w:b/>
              </w:rPr>
            </w:r>
            <w:r>
              <w:rPr>
                <w:b/>
                <w:i w:val="0"/>
                <w:sz w:val="19"/>
              </w:rPr>
              <w:t>Artefato no repositório</w:t>
            </w:r>
          </w:p>
        </w:tc>
        <w:tc>
          <w:tcPr>
            <w:tcW w:type="dxa" w:w="5102"/>
            <w:shd w:val="clear" w:fill="F4E7EB"/>
          </w:tcPr>
          <w:p>
            <w:pPr>
              <w:spacing w:after="0"/>
              <w:jc w:val="left"/>
            </w:pPr>
            <w:r>
              <w:rPr>
                <w:b/>
              </w:rPr>
            </w:r>
            <w:r>
              <w:rPr>
                <w:b/>
                <w:i w:val="0"/>
                <w:sz w:val="19"/>
              </w:rPr>
              <w:t>Serviço herdeiro / papel</w:t>
            </w:r>
          </w:p>
        </w:tc>
      </w:tr>
      <w:tr>
        <w:tc>
          <w:tcPr>
            <w:tcW w:type="dxa" w:w="4535"/>
          </w:tcPr>
          <w:p>
            <w:pPr>
              <w:spacing w:after="0" w:line="240" w:lineRule="auto"/>
              <w:jc w:val="left"/>
            </w:pPr>
            <w:r/>
            <w:r>
              <w:rPr>
                <w:rFonts w:ascii="Consolas" w:hAnsi="Consolas"/>
                <w:b w:val="0"/>
                <w:i w:val="0"/>
                <w:color w:val="8B1A3A"/>
                <w:sz w:val="18"/>
              </w:rPr>
              <w:t>Web/src/VinheriaAgnello.Server/src/VinheriaAgnello.Domain/Entities/Vinho.cs</w:t>
            </w:r>
            <w:r>
              <w:rPr>
                <w:b w:val="0"/>
                <w:i w:val="0"/>
                <w:sz w:val="19"/>
              </w:rPr>
              <w:t xml:space="preserve"> e </w:t>
            </w:r>
            <w:r>
              <w:rPr>
                <w:rFonts w:ascii="Consolas" w:hAnsi="Consolas"/>
                <w:b w:val="0"/>
                <w:i w:val="0"/>
                <w:color w:val="8B1A3A"/>
                <w:sz w:val="18"/>
              </w:rPr>
              <w:t>Categoria.cs</w:t>
            </w:r>
          </w:p>
        </w:tc>
        <w:tc>
          <w:tcPr>
            <w:tcW w:type="dxa" w:w="5102"/>
          </w:tcPr>
          <w:p>
            <w:pPr>
              <w:spacing w:after="0" w:line="240" w:lineRule="auto"/>
              <w:jc w:val="left"/>
            </w:pPr>
            <w:r/>
            <w:r>
              <w:rPr>
                <w:rFonts w:ascii="Consolas" w:hAnsi="Consolas"/>
                <w:b w:val="0"/>
                <w:i w:val="0"/>
                <w:color w:val="8B1A3A"/>
                <w:sz w:val="18"/>
              </w:rPr>
              <w:t>ms-catalogo</w:t>
            </w:r>
          </w:p>
        </w:tc>
      </w:tr>
      <w:tr>
        <w:tc>
          <w:tcPr>
            <w:tcW w:type="dxa" w:w="4535"/>
          </w:tcPr>
          <w:p>
            <w:pPr>
              <w:spacing w:after="0" w:line="240" w:lineRule="auto"/>
              <w:jc w:val="left"/>
            </w:pPr>
            <w:r/>
            <w:r>
              <w:rPr>
                <w:rFonts w:ascii="Consolas" w:hAnsi="Consolas"/>
                <w:b w:val="0"/>
                <w:i w:val="0"/>
                <w:color w:val="8B1A3A"/>
                <w:sz w:val="18"/>
              </w:rPr>
              <w:t>Web/src/VinheriaAgnello.Server/src/VinheriaAgnello.Domain/Entities/Lote.cs</w:t>
            </w:r>
          </w:p>
        </w:tc>
        <w:tc>
          <w:tcPr>
            <w:tcW w:type="dxa" w:w="5102"/>
          </w:tcPr>
          <w:p>
            <w:pPr>
              <w:spacing w:after="0" w:line="240" w:lineRule="auto"/>
              <w:jc w:val="left"/>
            </w:pPr>
            <w:r/>
            <w:r>
              <w:rPr>
                <w:rFonts w:ascii="Consolas" w:hAnsi="Consolas"/>
                <w:b w:val="0"/>
                <w:i w:val="0"/>
                <w:color w:val="8B1A3A"/>
                <w:sz w:val="18"/>
              </w:rPr>
              <w:t>ms-lotes</w:t>
            </w:r>
          </w:p>
        </w:tc>
      </w:tr>
      <w:tr>
        <w:tc>
          <w:tcPr>
            <w:tcW w:type="dxa" w:w="4535"/>
          </w:tcPr>
          <w:p>
            <w:pPr>
              <w:spacing w:after="0" w:line="240" w:lineRule="auto"/>
              <w:jc w:val="left"/>
            </w:pPr>
            <w:r/>
            <w:r>
              <w:rPr>
                <w:rFonts w:ascii="Consolas" w:hAnsi="Consolas"/>
                <w:b w:val="0"/>
                <w:i w:val="0"/>
                <w:color w:val="8B1A3A"/>
                <w:sz w:val="18"/>
              </w:rPr>
              <w:t>Web/src/VinheriaAgnello.Server/src/VinheriaAgnello.Domain/Entities/Fornecedor.cs</w:t>
            </w:r>
          </w:p>
        </w:tc>
        <w:tc>
          <w:tcPr>
            <w:tcW w:type="dxa" w:w="5102"/>
          </w:tcPr>
          <w:p>
            <w:pPr>
              <w:spacing w:after="0" w:line="240" w:lineRule="auto"/>
              <w:jc w:val="left"/>
            </w:pPr>
            <w:r/>
            <w:r>
              <w:rPr>
                <w:rFonts w:ascii="Consolas" w:hAnsi="Consolas"/>
                <w:b w:val="0"/>
                <w:i w:val="0"/>
                <w:color w:val="8B1A3A"/>
                <w:sz w:val="18"/>
              </w:rPr>
              <w:t>ms-fornecedores</w:t>
            </w:r>
          </w:p>
        </w:tc>
      </w:tr>
      <w:tr>
        <w:tc>
          <w:tcPr>
            <w:tcW w:type="dxa" w:w="4535"/>
          </w:tcPr>
          <w:p>
            <w:pPr>
              <w:spacing w:after="0" w:line="240" w:lineRule="auto"/>
              <w:jc w:val="left"/>
            </w:pPr>
            <w:r/>
            <w:r>
              <w:rPr>
                <w:rFonts w:ascii="Consolas" w:hAnsi="Consolas"/>
                <w:b w:val="0"/>
                <w:i w:val="0"/>
                <w:color w:val="8B1A3A"/>
                <w:sz w:val="18"/>
              </w:rPr>
              <w:t>Web/src/VinheriaAgnello.Server/src/VinheriaAgnello.Domain/Entities/TransacaoEstoque.cs</w:t>
            </w:r>
          </w:p>
        </w:tc>
        <w:tc>
          <w:tcPr>
            <w:tcW w:type="dxa" w:w="5102"/>
          </w:tcPr>
          <w:p>
            <w:pPr>
              <w:spacing w:after="0" w:line="240" w:lineRule="auto"/>
              <w:jc w:val="left"/>
            </w:pPr>
            <w:r/>
            <w:r>
              <w:rPr>
                <w:rFonts w:ascii="Consolas" w:hAnsi="Consolas"/>
                <w:b w:val="0"/>
                <w:i w:val="0"/>
                <w:color w:val="8B1A3A"/>
                <w:sz w:val="18"/>
              </w:rPr>
              <w:t>ms-estoque</w:t>
            </w:r>
            <w:r>
              <w:rPr>
                <w:b w:val="0"/>
                <w:i w:val="0"/>
                <w:sz w:val="19"/>
              </w:rPr>
              <w:t xml:space="preserve"> (renomeado para </w:t>
            </w:r>
            <w:r>
              <w:rPr>
                <w:rFonts w:ascii="Consolas" w:hAnsi="Consolas"/>
                <w:b w:val="0"/>
                <w:i w:val="0"/>
                <w:color w:val="8B1A3A"/>
                <w:sz w:val="18"/>
              </w:rPr>
              <w:t>MovimentacaoEstoque</w:t>
            </w:r>
            <w:r>
              <w:rPr>
                <w:b w:val="0"/>
                <w:i w:val="0"/>
                <w:sz w:val="19"/>
              </w:rPr>
              <w:t>)</w:t>
            </w:r>
          </w:p>
        </w:tc>
      </w:tr>
      <w:tr>
        <w:tc>
          <w:tcPr>
            <w:tcW w:type="dxa" w:w="4535"/>
          </w:tcPr>
          <w:p>
            <w:pPr>
              <w:spacing w:after="0" w:line="240" w:lineRule="auto"/>
              <w:jc w:val="left"/>
            </w:pPr>
            <w:r/>
            <w:r>
              <w:rPr>
                <w:rFonts w:ascii="Consolas" w:hAnsi="Consolas"/>
                <w:b w:val="0"/>
                <w:i w:val="0"/>
                <w:color w:val="8B1A3A"/>
                <w:sz w:val="18"/>
              </w:rPr>
              <w:t>Web/src/VinheriaAgnello.Server/src/VinheriaAgnello.API/Controllers/EstoqueController.cs</w:t>
            </w:r>
            <w:r>
              <w:rPr>
                <w:b w:val="0"/>
                <w:i w:val="0"/>
                <w:sz w:val="19"/>
              </w:rPr>
              <w:t xml:space="preserve"> e </w:t>
            </w:r>
            <w:r>
              <w:rPr>
                <w:rFonts w:ascii="Consolas" w:hAnsi="Consolas"/>
                <w:b w:val="0"/>
                <w:i w:val="0"/>
                <w:color w:val="8B1A3A"/>
                <w:sz w:val="18"/>
              </w:rPr>
              <w:t>Program.cs</w:t>
            </w:r>
          </w:p>
        </w:tc>
        <w:tc>
          <w:tcPr>
            <w:tcW w:type="dxa" w:w="5102"/>
          </w:tcPr>
          <w:p>
            <w:pPr>
              <w:spacing w:after="0" w:line="240" w:lineRule="auto"/>
              <w:jc w:val="left"/>
            </w:pPr>
            <w:r/>
            <w:r>
              <w:rPr>
                <w:rFonts w:ascii="Consolas" w:hAnsi="Consolas"/>
                <w:b w:val="0"/>
                <w:i w:val="0"/>
                <w:color w:val="8B1A3A"/>
                <w:sz w:val="18"/>
              </w:rPr>
              <w:t>ms-estoque</w:t>
            </w:r>
            <w:r>
              <w:rPr>
                <w:b w:val="0"/>
                <w:i w:val="0"/>
                <w:sz w:val="19"/>
              </w:rPr>
              <w:t xml:space="preserve"> (a API .NET de hoje é o serviço extraído)</w:t>
            </w:r>
          </w:p>
        </w:tc>
      </w:tr>
      <w:tr>
        <w:tc>
          <w:tcPr>
            <w:tcW w:type="dxa" w:w="4535"/>
          </w:tcPr>
          <w:p>
            <w:pPr>
              <w:spacing w:after="0" w:line="240" w:lineRule="auto"/>
              <w:jc w:val="left"/>
            </w:pPr>
            <w:r/>
            <w:r>
              <w:rPr>
                <w:rFonts w:ascii="Consolas" w:hAnsi="Consolas"/>
                <w:b w:val="0"/>
                <w:i w:val="0"/>
                <w:color w:val="8B1A3A"/>
                <w:sz w:val="18"/>
              </w:rPr>
              <w:t>Web/src/main/java/br/com/fiap/vinheriaagnello/</w:t>
            </w:r>
            <w:r>
              <w:rPr>
                <w:b w:val="0"/>
                <w:i w:val="0"/>
                <w:sz w:val="19"/>
              </w:rPr>
              <w:t xml:space="preserve"> (</w:t>
            </w:r>
            <w:r>
              <w:rPr>
                <w:rFonts w:ascii="Consolas" w:hAnsi="Consolas"/>
                <w:b w:val="0"/>
                <w:i w:val="0"/>
                <w:color w:val="8B1A3A"/>
                <w:sz w:val="18"/>
              </w:rPr>
              <w:t>web/VitrineServlet.java</w:t>
            </w:r>
            <w:r>
              <w:rPr>
                <w:b w:val="0"/>
                <w:i w:val="0"/>
                <w:sz w:val="19"/>
              </w:rPr>
              <w:t xml:space="preserve">, </w:t>
            </w:r>
            <w:r>
              <w:rPr>
                <w:rFonts w:ascii="Consolas" w:hAnsi="Consolas"/>
                <w:b w:val="0"/>
                <w:i w:val="0"/>
                <w:color w:val="8B1A3A"/>
                <w:sz w:val="18"/>
              </w:rPr>
              <w:t>web/VinhoServlet.java</w:t>
            </w:r>
            <w:r>
              <w:rPr>
                <w:b w:val="0"/>
                <w:i w:val="0"/>
                <w:sz w:val="19"/>
              </w:rPr>
              <w:t xml:space="preserve">, </w:t>
            </w:r>
            <w:r>
              <w:rPr>
                <w:rFonts w:ascii="Consolas" w:hAnsi="Consolas"/>
                <w:b w:val="0"/>
                <w:i w:val="0"/>
                <w:color w:val="8B1A3A"/>
                <w:sz w:val="18"/>
              </w:rPr>
              <w:t>web/ClienteCadastroServlet.java</w:t>
            </w:r>
            <w:r>
              <w:rPr>
                <w:b w:val="0"/>
                <w:i w:val="0"/>
                <w:sz w:val="19"/>
              </w:rPr>
              <w:t xml:space="preserve">, </w:t>
            </w:r>
            <w:r>
              <w:rPr>
                <w:rFonts w:ascii="Consolas" w:hAnsi="Consolas"/>
                <w:b w:val="0"/>
                <w:i w:val="0"/>
                <w:color w:val="8B1A3A"/>
                <w:sz w:val="18"/>
              </w:rPr>
              <w:t>model/</w:t>
            </w:r>
            <w:r>
              <w:rPr>
                <w:b w:val="0"/>
                <w:i w:val="0"/>
                <w:sz w:val="19"/>
              </w:rPr>
              <w:t xml:space="preserve">, </w:t>
            </w:r>
            <w:r>
              <w:rPr>
                <w:rFonts w:ascii="Consolas" w:hAnsi="Consolas"/>
                <w:b w:val="0"/>
                <w:i w:val="0"/>
                <w:color w:val="8B1A3A"/>
                <w:sz w:val="18"/>
              </w:rPr>
              <w:t>repository/InMemoryDatabase.java</w:t>
            </w:r>
            <w:r>
              <w:rPr>
                <w:b w:val="0"/>
                <w:i w:val="0"/>
                <w:sz w:val="19"/>
              </w:rPr>
              <w:t>)</w:t>
            </w:r>
          </w:p>
        </w:tc>
        <w:tc>
          <w:tcPr>
            <w:tcW w:type="dxa" w:w="5102"/>
          </w:tcPr>
          <w:p>
            <w:pPr>
              <w:spacing w:after="0" w:line="240" w:lineRule="auto"/>
              <w:jc w:val="left"/>
            </w:pPr>
            <w:r/>
            <w:r>
              <w:rPr>
                <w:b w:val="0"/>
                <w:i w:val="0"/>
                <w:sz w:val="19"/>
              </w:rPr>
              <w:t xml:space="preserve">Cliente / BFF dos microsserviços; não é um serviço. Hoje concentra catálogo e clientes — consumidor futuro de </w:t>
            </w:r>
            <w:r>
              <w:rPr>
                <w:rFonts w:ascii="Consolas" w:hAnsi="Consolas"/>
                <w:b w:val="0"/>
                <w:i w:val="0"/>
                <w:color w:val="8B1A3A"/>
                <w:sz w:val="18"/>
              </w:rPr>
              <w:t>ms-catalogo</w:t>
            </w:r>
            <w:r>
              <w:rPr>
                <w:b w:val="0"/>
                <w:i w:val="0"/>
                <w:sz w:val="19"/>
              </w:rPr>
              <w:t xml:space="preserve"> e </w:t>
            </w:r>
            <w:r>
              <w:rPr>
                <w:rFonts w:ascii="Consolas" w:hAnsi="Consolas"/>
                <w:b w:val="0"/>
                <w:i w:val="0"/>
                <w:color w:val="8B1A3A"/>
                <w:sz w:val="18"/>
              </w:rPr>
              <w:t>ms-clientes</w:t>
            </w:r>
          </w:p>
        </w:tc>
      </w:tr>
      <w:tr>
        <w:tc>
          <w:tcPr>
            <w:tcW w:type="dxa" w:w="4535"/>
          </w:tcPr>
          <w:p>
            <w:pPr>
              <w:spacing w:after="0" w:line="240" w:lineRule="auto"/>
              <w:jc w:val="left"/>
            </w:pPr>
            <w:r/>
            <w:r>
              <w:rPr>
                <w:rFonts w:ascii="Consolas" w:hAnsi="Consolas"/>
                <w:b w:val="0"/>
                <w:i w:val="0"/>
                <w:color w:val="8B1A3A"/>
                <w:sz w:val="18"/>
              </w:rPr>
              <w:t>Mobile/app/src/main/java/com/example/myapplication/data/local/</w:t>
            </w:r>
            <w:r>
              <w:rPr>
                <w:b w:val="0"/>
                <w:i w:val="0"/>
                <w:sz w:val="19"/>
              </w:rPr>
              <w:t xml:space="preserve"> (</w:t>
            </w:r>
            <w:r>
              <w:rPr>
                <w:rFonts w:ascii="Consolas" w:hAnsi="Consolas"/>
                <w:b w:val="0"/>
                <w:i w:val="0"/>
                <w:color w:val="8B1A3A"/>
                <w:sz w:val="18"/>
              </w:rPr>
              <w:t>AppDatabase.kt</w:t>
            </w:r>
            <w:r>
              <w:rPr>
                <w:b w:val="0"/>
                <w:i w:val="0"/>
                <w:sz w:val="19"/>
              </w:rPr>
              <w:t xml:space="preserve">, </w:t>
            </w:r>
            <w:r>
              <w:rPr>
                <w:rFonts w:ascii="Consolas" w:hAnsi="Consolas"/>
                <w:b w:val="0"/>
                <w:i w:val="0"/>
                <w:color w:val="8B1A3A"/>
                <w:sz w:val="18"/>
              </w:rPr>
              <w:t>entity/Produto.kt</w:t>
            </w:r>
            <w:r>
              <w:rPr>
                <w:b w:val="0"/>
                <w:i w:val="0"/>
                <w:sz w:val="19"/>
              </w:rPr>
              <w:t xml:space="preserve">, </w:t>
            </w:r>
            <w:r>
              <w:rPr>
                <w:rFonts w:ascii="Consolas" w:hAnsi="Consolas"/>
                <w:b w:val="0"/>
                <w:i w:val="0"/>
                <w:color w:val="8B1A3A"/>
                <w:sz w:val="18"/>
              </w:rPr>
              <w:t>dao/ProdutoDao.kt</w:t>
            </w:r>
            <w:r>
              <w:rPr>
                <w:b w:val="0"/>
                <w:i w:val="0"/>
                <w:sz w:val="19"/>
              </w:rPr>
              <w:t xml:space="preserve">) e </w:t>
            </w:r>
            <w:r>
              <w:rPr>
                <w:rFonts w:ascii="Consolas" w:hAnsi="Consolas"/>
                <w:b w:val="0"/>
                <w:i w:val="0"/>
                <w:color w:val="8B1A3A"/>
                <w:sz w:val="18"/>
              </w:rPr>
              <w:t>ui/estoque/</w:t>
            </w:r>
          </w:p>
        </w:tc>
        <w:tc>
          <w:tcPr>
            <w:tcW w:type="dxa" w:w="5102"/>
          </w:tcPr>
          <w:p>
            <w:pPr>
              <w:spacing w:after="0" w:line="240" w:lineRule="auto"/>
              <w:jc w:val="left"/>
            </w:pPr>
            <w:r/>
            <w:r>
              <w:rPr>
                <w:b w:val="0"/>
                <w:i w:val="0"/>
                <w:sz w:val="19"/>
              </w:rPr>
              <w:t xml:space="preserve">Cliente / BFF dos microsserviços; não é um serviço. Hoje é espelho local de estoque — consumidor futuro de </w:t>
            </w:r>
            <w:r>
              <w:rPr>
                <w:rFonts w:ascii="Consolas" w:hAnsi="Consolas"/>
                <w:b w:val="0"/>
                <w:i w:val="0"/>
                <w:color w:val="8B1A3A"/>
                <w:sz w:val="18"/>
              </w:rPr>
              <w:t>ms-estoque</w:t>
            </w:r>
          </w:p>
        </w:tc>
      </w:tr>
      <w:tr>
        <w:tc>
          <w:tcPr>
            <w:tcW w:type="dxa" w:w="4535"/>
          </w:tcPr>
          <w:p>
            <w:pPr>
              <w:spacing w:after="0" w:line="240" w:lineRule="auto"/>
              <w:jc w:val="left"/>
            </w:pPr>
            <w:r/>
            <w:r>
              <w:rPr>
                <w:rFonts w:ascii="Consolas" w:hAnsi="Consolas"/>
                <w:b w:val="0"/>
                <w:i w:val="0"/>
                <w:color w:val="8B1A3A"/>
                <w:sz w:val="18"/>
              </w:rPr>
              <w:t>Arduino/VinheriaSensores/VinheriaSensores.ino</w:t>
            </w:r>
            <w:r>
              <w:rPr>
                <w:b w:val="0"/>
                <w:i w:val="0"/>
                <w:sz w:val="19"/>
              </w:rPr>
              <w:t xml:space="preserve"> + </w:t>
            </w:r>
            <w:r>
              <w:rPr>
                <w:rFonts w:ascii="Consolas" w:hAnsi="Consolas"/>
                <w:b w:val="0"/>
                <w:i w:val="0"/>
                <w:color w:val="8B1A3A"/>
                <w:sz w:val="18"/>
              </w:rPr>
              <w:t>MQTT/node_red_vinheria_flow.json</w:t>
            </w:r>
            <w:r>
              <w:rPr>
                <w:b w:val="0"/>
                <w:i w:val="0"/>
                <w:sz w:val="19"/>
              </w:rPr>
              <w:t xml:space="preserve"> + </w:t>
            </w:r>
            <w:r>
              <w:rPr>
                <w:rFonts w:ascii="Consolas" w:hAnsi="Consolas"/>
                <w:b w:val="0"/>
                <w:i w:val="0"/>
                <w:color w:val="8B1A3A"/>
                <w:sz w:val="18"/>
              </w:rPr>
              <w:t>MQTT/README_MQTT.md</w:t>
            </w:r>
          </w:p>
        </w:tc>
        <w:tc>
          <w:tcPr>
            <w:tcW w:type="dxa" w:w="5102"/>
          </w:tcPr>
          <w:p>
            <w:pPr>
              <w:spacing w:after="0" w:line="240" w:lineRule="auto"/>
              <w:jc w:val="left"/>
            </w:pPr>
            <w:r/>
            <w:r>
              <w:rPr>
                <w:rFonts w:ascii="Consolas" w:hAnsi="Consolas"/>
                <w:b w:val="0"/>
                <w:i w:val="0"/>
                <w:color w:val="8B1A3A"/>
                <w:sz w:val="18"/>
              </w:rPr>
              <w:t>ms-qualidade</w:t>
            </w:r>
            <w:r>
              <w:rPr>
                <w:b w:val="0"/>
                <w:i w:val="0"/>
                <w:sz w:val="19"/>
              </w:rPr>
              <w:t xml:space="preserve"> (o Node-RED atua como gateway de integração)</w:t>
            </w:r>
          </w:p>
        </w:tc>
      </w:tr>
      <w:tr>
        <w:tc>
          <w:tcPr>
            <w:tcW w:type="dxa" w:w="4535"/>
          </w:tcPr>
          <w:p>
            <w:pPr>
              <w:spacing w:after="0" w:line="240" w:lineRule="auto"/>
              <w:jc w:val="left"/>
            </w:pPr>
            <w:r/>
            <w:r>
              <w:rPr>
                <w:rFonts w:ascii="Consolas" w:hAnsi="Consolas"/>
                <w:b w:val="0"/>
                <w:i w:val="0"/>
                <w:color w:val="8B1A3A"/>
                <w:sz w:val="18"/>
              </w:rPr>
              <w:t>Web/historico_vendas-vinheria_agnello.csv</w:t>
            </w:r>
            <w:r>
              <w:rPr>
                <w:b w:val="0"/>
                <w:i w:val="0"/>
                <w:sz w:val="19"/>
              </w:rPr>
              <w:t xml:space="preserve"> + </w:t>
            </w:r>
            <w:r>
              <w:rPr>
                <w:rFonts w:ascii="Consolas" w:hAnsi="Consolas"/>
                <w:b w:val="0"/>
                <w:i w:val="0"/>
                <w:color w:val="8B1A3A"/>
                <w:sz w:val="18"/>
              </w:rPr>
              <w:t>Web/vinheria dashboard.twbx</w:t>
            </w:r>
          </w:p>
        </w:tc>
        <w:tc>
          <w:tcPr>
            <w:tcW w:type="dxa" w:w="5102"/>
          </w:tcPr>
          <w:p>
            <w:pPr>
              <w:spacing w:after="0" w:line="240" w:lineRule="auto"/>
              <w:jc w:val="left"/>
            </w:pPr>
            <w:r/>
            <w:r>
              <w:rPr>
                <w:rFonts w:ascii="Consolas" w:hAnsi="Consolas"/>
                <w:b w:val="0"/>
                <w:i w:val="0"/>
                <w:color w:val="8B1A3A"/>
                <w:sz w:val="18"/>
              </w:rPr>
              <w:t>ms-analytics</w:t>
            </w:r>
          </w:p>
        </w:tc>
      </w:tr>
    </w:tbl>
    <w:p>
      <w:pPr>
        <w:pStyle w:val="Heading2"/>
      </w:pPr>
      <w:r>
        <w:rPr>
          <w:b w:val="0"/>
          <w:i w:val="0"/>
          <w:sz w:val="22"/>
        </w:rPr>
        <w:t>1.5 Reconciliação com os domínios do enunciado</w:t>
      </w:r>
    </w:p>
    <w:p>
      <w:r>
        <w:rPr>
          <w:b w:val="0"/>
          <w:i w:val="0"/>
          <w:sz w:val="22"/>
        </w:rPr>
        <w:t>O enunciado pede os principais serviços e exemplifica quatro domínios. A tabela abaixo é a correspondência entre cada exemplo do enunciado e os serviços propostos nesta entrega, com a razão de ter havido separação em mais de um serviço.</w:t>
      </w:r>
    </w:p>
    <w:p>
      <w:pPr>
        <w:keepNext/>
        <w:spacing w:after="60" w:before="0"/>
        <w:jc w:val="left"/>
      </w:pPr>
      <w:r>
        <w:rPr>
          <w:b w:val="0"/>
          <w:i/>
          <w:color w:val="595959"/>
          <w:sz w:val="19"/>
        </w:rPr>
        <w:t>Tabela 5 — Correspondência entre os domínios do enunciado e os serviços propostos</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2835"/>
            <w:shd w:val="clear" w:fill="F4E7EB"/>
          </w:tcPr>
          <w:p>
            <w:pPr>
              <w:spacing w:after="0"/>
              <w:jc w:val="left"/>
            </w:pPr>
            <w:r>
              <w:rPr>
                <w:b/>
              </w:rPr>
            </w:r>
            <w:r>
              <w:rPr>
                <w:b/>
                <w:i w:val="0"/>
                <w:sz w:val="19"/>
              </w:rPr>
              <w:t>Exemplo do enunciado</w:t>
            </w:r>
          </w:p>
        </w:tc>
        <w:tc>
          <w:tcPr>
            <w:tcW w:type="dxa" w:w="2608"/>
            <w:shd w:val="clear" w:fill="F4E7EB"/>
          </w:tcPr>
          <w:p>
            <w:pPr>
              <w:spacing w:after="0"/>
              <w:jc w:val="left"/>
            </w:pPr>
            <w:r>
              <w:rPr>
                <w:b/>
              </w:rPr>
            </w:r>
            <w:r>
              <w:rPr>
                <w:b/>
                <w:i w:val="0"/>
                <w:sz w:val="19"/>
              </w:rPr>
              <w:t>Serviços propostos</w:t>
            </w:r>
          </w:p>
        </w:tc>
        <w:tc>
          <w:tcPr>
            <w:tcW w:type="dxa" w:w="4195"/>
            <w:shd w:val="clear" w:fill="F4E7EB"/>
          </w:tcPr>
          <w:p>
            <w:pPr>
              <w:spacing w:after="0"/>
              <w:jc w:val="left"/>
            </w:pPr>
            <w:r>
              <w:rPr>
                <w:b/>
              </w:rPr>
            </w:r>
            <w:r>
              <w:rPr>
                <w:b/>
                <w:i w:val="0"/>
                <w:sz w:val="19"/>
              </w:rPr>
              <w:t>Por que não é um serviço só</w:t>
            </w:r>
          </w:p>
        </w:tc>
      </w:tr>
      <w:tr>
        <w:tc>
          <w:tcPr>
            <w:tcW w:type="dxa" w:w="2835"/>
          </w:tcPr>
          <w:p>
            <w:pPr>
              <w:spacing w:after="0" w:line="240" w:lineRule="auto"/>
              <w:jc w:val="left"/>
            </w:pPr>
            <w:r/>
            <w:r>
              <w:rPr>
                <w:b/>
                <w:i w:val="0"/>
                <w:sz w:val="19"/>
              </w:rPr>
              <w:t>Gestão de Produção</w:t>
            </w:r>
            <w:r>
              <w:rPr>
                <w:b w:val="0"/>
                <w:i w:val="0"/>
                <w:sz w:val="19"/>
              </w:rPr>
              <w:t xml:space="preserve"> — registro de colheitas, fermentação, armazenamento</w:t>
            </w:r>
          </w:p>
        </w:tc>
        <w:tc>
          <w:tcPr>
            <w:tcW w:type="dxa" w:w="2608"/>
          </w:tcPr>
          <w:p>
            <w:pPr>
              <w:spacing w:after="0" w:line="240" w:lineRule="auto"/>
              <w:jc w:val="left"/>
            </w:pPr>
            <w:r/>
            <w:r>
              <w:rPr>
                <w:rFonts w:ascii="Consolas" w:hAnsi="Consolas"/>
                <w:b w:val="0"/>
                <w:i w:val="0"/>
                <w:color w:val="8B1A3A"/>
                <w:sz w:val="18"/>
              </w:rPr>
              <w:t>ms-producao</w:t>
            </w:r>
            <w:r>
              <w:rPr>
                <w:b w:val="0"/>
                <w:i w:val="0"/>
                <w:sz w:val="19"/>
              </w:rPr>
              <w:t xml:space="preserve"> (a armazenagem é posição de estoque e fica no </w:t>
            </w:r>
            <w:r>
              <w:rPr>
                <w:rFonts w:ascii="Consolas" w:hAnsi="Consolas"/>
                <w:b w:val="0"/>
                <w:i w:val="0"/>
                <w:color w:val="8B1A3A"/>
                <w:sz w:val="18"/>
              </w:rPr>
              <w:t>ms-estoque</w:t>
            </w:r>
            <w:r>
              <w:rPr>
                <w:b w:val="0"/>
                <w:i w:val="0"/>
                <w:sz w:val="19"/>
              </w:rPr>
              <w:t>)</w:t>
            </w:r>
          </w:p>
        </w:tc>
        <w:tc>
          <w:tcPr>
            <w:tcW w:type="dxa" w:w="4195"/>
          </w:tcPr>
          <w:p>
            <w:pPr>
              <w:spacing w:after="0" w:line="240" w:lineRule="auto"/>
              <w:jc w:val="left"/>
            </w:pPr>
            <w:r/>
            <w:r>
              <w:rPr>
                <w:b w:val="0"/>
                <w:i w:val="0"/>
                <w:sz w:val="19"/>
              </w:rPr>
              <w:t>A safra e o ciclo produtivo são um domínio coeso; a posição física do vinho pertence ao estoque, que é escrito só por ele (regra 3 da seção 1.1.1)</w:t>
            </w:r>
          </w:p>
        </w:tc>
      </w:tr>
      <w:tr>
        <w:tc>
          <w:tcPr>
            <w:tcW w:type="dxa" w:w="2835"/>
          </w:tcPr>
          <w:p>
            <w:pPr>
              <w:spacing w:after="0" w:line="240" w:lineRule="auto"/>
              <w:jc w:val="left"/>
            </w:pPr>
            <w:r/>
            <w:r>
              <w:rPr>
                <w:b/>
                <w:i w:val="0"/>
                <w:sz w:val="19"/>
              </w:rPr>
              <w:t>Rastreamento de Vinhos</w:t>
            </w:r>
            <w:r>
              <w:rPr>
                <w:b w:val="0"/>
                <w:i w:val="0"/>
                <w:sz w:val="19"/>
              </w:rPr>
              <w:t xml:space="preserve"> — controle de lotes, histórico de produção</w:t>
            </w:r>
          </w:p>
        </w:tc>
        <w:tc>
          <w:tcPr>
            <w:tcW w:type="dxa" w:w="2608"/>
          </w:tcPr>
          <w:p>
            <w:pPr>
              <w:spacing w:after="0" w:line="240" w:lineRule="auto"/>
              <w:jc w:val="left"/>
            </w:pPr>
            <w:r/>
            <w:r>
              <w:rPr>
                <w:rFonts w:ascii="Consolas" w:hAnsi="Consolas"/>
                <w:b w:val="0"/>
                <w:i w:val="0"/>
                <w:color w:val="8B1A3A"/>
                <w:sz w:val="18"/>
              </w:rPr>
              <w:t>ms-lotes</w:t>
            </w:r>
            <w:r>
              <w:rPr>
                <w:b w:val="0"/>
                <w:i w:val="0"/>
                <w:sz w:val="19"/>
              </w:rPr>
              <w:t xml:space="preserve"> (a safra vem do </w:t>
            </w:r>
            <w:r>
              <w:rPr>
                <w:rFonts w:ascii="Consolas" w:hAnsi="Consolas"/>
                <w:b w:val="0"/>
                <w:i w:val="0"/>
                <w:color w:val="8B1A3A"/>
                <w:sz w:val="18"/>
              </w:rPr>
              <w:t>ms-producao</w:t>
            </w:r>
            <w:r>
              <w:rPr>
                <w:b w:val="0"/>
                <w:i w:val="0"/>
                <w:sz w:val="19"/>
              </w:rPr>
              <w:t>)</w:t>
            </w:r>
          </w:p>
        </w:tc>
        <w:tc>
          <w:tcPr>
            <w:tcW w:type="dxa" w:w="4195"/>
          </w:tcPr>
          <w:p>
            <w:pPr>
              <w:spacing w:after="0" w:line="240" w:lineRule="auto"/>
              <w:jc w:val="left"/>
            </w:pPr>
            <w:r/>
            <w:r>
              <w:rPr>
                <w:b w:val="0"/>
                <w:i w:val="0"/>
                <w:sz w:val="19"/>
              </w:rPr>
              <w:t>Lote, genealogia, código de rastreio e histórico são um domínio só, que muda por exigência regulatória — não pelo motivo comercial do catálogo (seção 1.2)</w:t>
            </w:r>
          </w:p>
        </w:tc>
      </w:tr>
      <w:tr>
        <w:tc>
          <w:tcPr>
            <w:tcW w:type="dxa" w:w="2835"/>
          </w:tcPr>
          <w:p>
            <w:pPr>
              <w:spacing w:after="0" w:line="240" w:lineRule="auto"/>
              <w:jc w:val="left"/>
            </w:pPr>
            <w:r/>
            <w:r>
              <w:rPr>
                <w:b/>
                <w:i w:val="0"/>
                <w:sz w:val="19"/>
              </w:rPr>
              <w:t>Gestão de Pedidos</w:t>
            </w:r>
            <w:r>
              <w:rPr>
                <w:b w:val="0"/>
                <w:i w:val="0"/>
                <w:sz w:val="19"/>
              </w:rPr>
              <w:t xml:space="preserve"> — controle de compras, fornecedores e estoque</w:t>
            </w:r>
          </w:p>
        </w:tc>
        <w:tc>
          <w:tcPr>
            <w:tcW w:type="dxa" w:w="2608"/>
          </w:tcPr>
          <w:p>
            <w:pPr>
              <w:spacing w:after="0" w:line="240" w:lineRule="auto"/>
              <w:jc w:val="left"/>
            </w:pPr>
            <w:r/>
            <w:r>
              <w:rPr>
                <w:rFonts w:ascii="Consolas" w:hAnsi="Consolas"/>
                <w:b w:val="0"/>
                <w:i w:val="0"/>
                <w:color w:val="8B1A3A"/>
                <w:sz w:val="18"/>
              </w:rPr>
              <w:t>ms-pedidos</w:t>
            </w:r>
            <w:r>
              <w:rPr>
                <w:b w:val="0"/>
                <w:i w:val="0"/>
                <w:sz w:val="19"/>
              </w:rPr>
              <w:t xml:space="preserve">, </w:t>
            </w:r>
            <w:r>
              <w:rPr>
                <w:rFonts w:ascii="Consolas" w:hAnsi="Consolas"/>
                <w:b w:val="0"/>
                <w:i w:val="0"/>
                <w:color w:val="8B1A3A"/>
                <w:sz w:val="18"/>
              </w:rPr>
              <w:t>ms-fornecedores</w:t>
            </w:r>
            <w:r>
              <w:rPr>
                <w:b w:val="0"/>
                <w:i w:val="0"/>
                <w:sz w:val="19"/>
              </w:rPr>
              <w:t xml:space="preserve"> e </w:t>
            </w:r>
            <w:r>
              <w:rPr>
                <w:rFonts w:ascii="Consolas" w:hAnsi="Consolas"/>
                <w:b w:val="0"/>
                <w:i w:val="0"/>
                <w:color w:val="8B1A3A"/>
                <w:sz w:val="18"/>
              </w:rPr>
              <w:t>ms-estoque</w:t>
            </w:r>
          </w:p>
        </w:tc>
        <w:tc>
          <w:tcPr>
            <w:tcW w:type="dxa" w:w="4195"/>
          </w:tcPr>
          <w:p>
            <w:pPr>
              <w:spacing w:after="0" w:line="240" w:lineRule="auto"/>
              <w:jc w:val="left"/>
            </w:pPr>
            <w:r/>
            <w:r>
              <w:rPr>
                <w:b w:val="0"/>
                <w:i w:val="0"/>
                <w:sz w:val="19"/>
              </w:rPr>
              <w:t xml:space="preserve">São três verdades com donos diferentes: </w:t>
            </w:r>
            <w:r>
              <w:rPr>
                <w:rFonts w:ascii="Consolas" w:hAnsi="Consolas"/>
                <w:b w:val="0"/>
                <w:i w:val="0"/>
                <w:color w:val="8B1A3A"/>
                <w:sz w:val="18"/>
              </w:rPr>
              <w:t>Pedido</w:t>
            </w:r>
            <w:r>
              <w:rPr>
                <w:b w:val="0"/>
                <w:i w:val="0"/>
                <w:sz w:val="19"/>
              </w:rPr>
              <w:t xml:space="preserve"> (venda, cliente, receita), </w:t>
            </w:r>
            <w:r>
              <w:rPr>
                <w:rFonts w:ascii="Consolas" w:hAnsi="Consolas"/>
                <w:b w:val="0"/>
                <w:i w:val="0"/>
                <w:color w:val="8B1A3A"/>
                <w:sz w:val="18"/>
              </w:rPr>
              <w:t>PedidoCompra</w:t>
            </w:r>
            <w:r>
              <w:rPr>
                <w:b w:val="0"/>
                <w:i w:val="0"/>
                <w:sz w:val="19"/>
              </w:rPr>
              <w:t xml:space="preserve"> (suprimento, custo, prazo) e Posição de Estoque (o que existe de fato) — separação justificada nos cortes "Fornecedores × pedidos" e "Compras e recebimento × estoque" (seção 1.2)</w:t>
            </w:r>
          </w:p>
        </w:tc>
      </w:tr>
      <w:tr>
        <w:tc>
          <w:tcPr>
            <w:tcW w:type="dxa" w:w="2835"/>
          </w:tcPr>
          <w:p>
            <w:pPr>
              <w:spacing w:after="0" w:line="240" w:lineRule="auto"/>
              <w:jc w:val="left"/>
            </w:pPr>
            <w:r/>
            <w:r>
              <w:rPr>
                <w:b/>
                <w:i w:val="0"/>
                <w:sz w:val="19"/>
              </w:rPr>
              <w:t>Monitoramento de Qualidade</w:t>
            </w:r>
            <w:r>
              <w:rPr>
                <w:b w:val="0"/>
                <w:i w:val="0"/>
                <w:sz w:val="19"/>
              </w:rPr>
              <w:t xml:space="preserve"> — temperatura, umidade e análises laboratoriais</w:t>
            </w:r>
          </w:p>
        </w:tc>
        <w:tc>
          <w:tcPr>
            <w:tcW w:type="dxa" w:w="2608"/>
          </w:tcPr>
          <w:p>
            <w:pPr>
              <w:spacing w:after="0" w:line="240" w:lineRule="auto"/>
              <w:jc w:val="left"/>
            </w:pPr>
            <w:r/>
            <w:r>
              <w:rPr>
                <w:rFonts w:ascii="Consolas" w:hAnsi="Consolas"/>
                <w:b w:val="0"/>
                <w:i w:val="0"/>
                <w:color w:val="8B1A3A"/>
                <w:sz w:val="18"/>
              </w:rPr>
              <w:t>ms-qualidade</w:t>
            </w:r>
          </w:p>
        </w:tc>
        <w:tc>
          <w:tcPr>
            <w:tcW w:type="dxa" w:w="4195"/>
          </w:tcPr>
          <w:p>
            <w:pPr>
              <w:spacing w:after="0" w:line="240" w:lineRule="auto"/>
              <w:jc w:val="left"/>
            </w:pPr>
            <w:r/>
            <w:r>
              <w:rPr>
                <w:b w:val="0"/>
                <w:i w:val="0"/>
                <w:sz w:val="19"/>
              </w:rPr>
              <w:t>Um serviço só, com banco de série temporal: recebe a telemetria da adega e publica os alertas (seções 2 e 4)</w:t>
            </w:r>
          </w:p>
        </w:tc>
      </w:tr>
    </w:tbl>
    <w:p>
      <w:r>
        <w:rPr>
          <w:b w:val="0"/>
          <w:i w:val="0"/>
          <w:sz w:val="22"/>
        </w:rPr>
        <w:t>O resultado da análise dos dois lados:</w:t>
      </w:r>
    </w:p>
    <w:p>
      <w:pPr>
        <w:pStyle w:val="ListBullet"/>
      </w:pPr>
      <w:r>
        <w:rPr>
          <w:b/>
          <w:i w:val="0"/>
          <w:sz w:val="22"/>
        </w:rPr>
        <w:t>Sem correspondência direta no enunciado (6):</w:t>
      </w:r>
      <w:r>
        <w:rPr>
          <w:b w:val="0"/>
          <w:i w:val="0"/>
          <w:sz w:val="22"/>
        </w:rPr>
        <w:t xml:space="preserve"> </w:t>
      </w:r>
      <w:r>
        <w:rPr>
          <w:rFonts w:ascii="Consolas" w:hAnsi="Consolas"/>
          <w:b w:val="0"/>
          <w:i w:val="0"/>
          <w:color w:val="8B1A3A"/>
          <w:sz w:val="21"/>
        </w:rPr>
        <w:t>ms-catalogo</w:t>
      </w:r>
      <w:r>
        <w:rPr>
          <w:b w:val="0"/>
          <w:i w:val="0"/>
          <w:sz w:val="22"/>
        </w:rPr>
        <w:t xml:space="preserve"> (vitrine comercial dos vinhos), </w:t>
      </w:r>
      <w:r>
        <w:rPr>
          <w:rFonts w:ascii="Consolas" w:hAnsi="Consolas"/>
          <w:b w:val="0"/>
          <w:i w:val="0"/>
          <w:color w:val="8B1A3A"/>
          <w:sz w:val="21"/>
        </w:rPr>
        <w:t>ms-clientes</w:t>
      </w:r>
      <w:r>
        <w:rPr>
          <w:b w:val="0"/>
          <w:i w:val="0"/>
          <w:sz w:val="22"/>
        </w:rPr>
        <w:t xml:space="preserve"> (cadastro, perfil e consentimento LGPD), </w:t>
      </w:r>
      <w:r>
        <w:rPr>
          <w:rFonts w:ascii="Consolas" w:hAnsi="Consolas"/>
          <w:b w:val="0"/>
          <w:i w:val="0"/>
          <w:color w:val="8B1A3A"/>
          <w:sz w:val="21"/>
        </w:rPr>
        <w:t>ms-pagamentos</w:t>
      </w:r>
      <w:r>
        <w:rPr>
          <w:b w:val="0"/>
          <w:i w:val="0"/>
          <w:sz w:val="22"/>
        </w:rPr>
        <w:t xml:space="preserve"> (cobrança e conciliação), </w:t>
      </w:r>
      <w:r>
        <w:rPr>
          <w:rFonts w:ascii="Consolas" w:hAnsi="Consolas"/>
          <w:b w:val="0"/>
          <w:i w:val="0"/>
          <w:color w:val="8B1A3A"/>
          <w:sz w:val="21"/>
        </w:rPr>
        <w:t>ms-identidade</w:t>
      </w:r>
      <w:r>
        <w:rPr>
          <w:b w:val="0"/>
          <w:i w:val="0"/>
          <w:sz w:val="22"/>
        </w:rPr>
        <w:t xml:space="preserve"> (credencial e RBAC), </w:t>
      </w:r>
      <w:r>
        <w:rPr>
          <w:rFonts w:ascii="Consolas" w:hAnsi="Consolas"/>
          <w:b w:val="0"/>
          <w:i w:val="0"/>
          <w:color w:val="8B1A3A"/>
          <w:sz w:val="21"/>
        </w:rPr>
        <w:t>ms-notificacoes</w:t>
      </w:r>
      <w:r>
        <w:rPr>
          <w:b w:val="0"/>
          <w:i w:val="0"/>
          <w:sz w:val="22"/>
        </w:rPr>
        <w:t xml:space="preserve"> (e-mail, WhatsApp e push) e </w:t>
      </w:r>
      <w:r>
        <w:rPr>
          <w:rFonts w:ascii="Consolas" w:hAnsi="Consolas"/>
          <w:b w:val="0"/>
          <w:i w:val="0"/>
          <w:color w:val="8B1A3A"/>
          <w:sz w:val="21"/>
        </w:rPr>
        <w:t>ms-analytics</w:t>
      </w:r>
      <w:r>
        <w:rPr>
          <w:b w:val="0"/>
          <w:i w:val="0"/>
          <w:sz w:val="22"/>
        </w:rPr>
        <w:t xml:space="preserve"> (indicadores e previsão) — todos ancorados em algo que já existe no repositório (seção 1.4).</w:t>
      </w:r>
    </w:p>
    <w:p>
      <w:pPr>
        <w:pStyle w:val="ListBullet"/>
      </w:pPr>
      <w:r>
        <w:rPr>
          <w:b/>
          <w:i w:val="0"/>
          <w:sz w:val="22"/>
        </w:rPr>
        <w:t>Nomes:</w:t>
      </w:r>
      <w:r>
        <w:rPr>
          <w:b w:val="0"/>
          <w:i w:val="0"/>
          <w:sz w:val="22"/>
        </w:rPr>
        <w:t xml:space="preserve"> nenhum serviço foi renomeado; o glossário da seção 1.6 é a mesma nomenclatura que o diagrama (seção 1.2), os padrões (seção 1.3) e a comunicação (seção 1.4) usam. Uma entidade muda de nome no alvo: </w:t>
      </w:r>
      <w:r>
        <w:rPr>
          <w:rFonts w:ascii="Consolas" w:hAnsi="Consolas"/>
          <w:b w:val="0"/>
          <w:i w:val="0"/>
          <w:color w:val="8B1A3A"/>
          <w:sz w:val="21"/>
        </w:rPr>
        <w:t>TransacaoEstoque</w:t>
      </w:r>
      <w:r>
        <w:rPr>
          <w:b w:val="0"/>
          <w:i w:val="0"/>
          <w:sz w:val="22"/>
        </w:rPr>
        <w:t xml:space="preserve"> → </w:t>
      </w:r>
      <w:r>
        <w:rPr>
          <w:rFonts w:ascii="Consolas" w:hAnsi="Consolas"/>
          <w:b w:val="0"/>
          <w:i w:val="0"/>
          <w:color w:val="8B1A3A"/>
          <w:sz w:val="21"/>
        </w:rPr>
        <w:t>MovimentacaoEstoque</w:t>
      </w:r>
      <w:r>
        <w:rPr>
          <w:b w:val="0"/>
          <w:i w:val="0"/>
          <w:sz w:val="22"/>
        </w:rPr>
        <w:t>.</w:t>
      </w:r>
    </w:p>
    <w:p>
      <w:pPr>
        <w:pStyle w:val="ListBullet"/>
      </w:pPr>
      <w:r>
        <w:rPr>
          <w:b/>
          <w:i w:val="0"/>
          <w:sz w:val="22"/>
        </w:rPr>
        <w:t>Cortados:</w:t>
      </w:r>
      <w:r>
        <w:rPr>
          <w:b w:val="0"/>
          <w:i w:val="0"/>
          <w:sz w:val="22"/>
        </w:rPr>
        <w:t xml:space="preserve"> nenhum serviço. O carrinho foi avaliado e </w:t>
      </w:r>
      <w:r>
        <w:rPr>
          <w:b/>
          <w:i w:val="0"/>
          <w:sz w:val="22"/>
        </w:rPr>
        <w:t>não</w:t>
      </w:r>
      <w:r>
        <w:rPr>
          <w:b w:val="0"/>
          <w:i w:val="0"/>
          <w:sz w:val="22"/>
        </w:rPr>
        <w:t xml:space="preserve"> promovido a serviço; permanece como agregado dentro do </w:t>
      </w:r>
      <w:r>
        <w:rPr>
          <w:rFonts w:ascii="Consolas" w:hAnsi="Consolas"/>
          <w:b w:val="0"/>
          <w:i w:val="0"/>
          <w:color w:val="8B1A3A"/>
          <w:sz w:val="21"/>
        </w:rPr>
        <w:t>ms-pedidos</w:t>
      </w:r>
      <w:r>
        <w:rPr>
          <w:b w:val="0"/>
          <w:i w:val="0"/>
          <w:sz w:val="22"/>
        </w:rPr>
        <w:t xml:space="preserve"> (justificativa na seção 1.3).</w:t>
      </w:r>
    </w:p>
    <w:p>
      <w:pPr>
        <w:pStyle w:val="ListBullet"/>
      </w:pPr>
      <w:r>
        <w:rPr>
          <w:b/>
          <w:i w:val="0"/>
          <w:sz w:val="22"/>
        </w:rPr>
        <w:t>Separação que o enunciado não pede explicitamente:</w:t>
      </w:r>
      <w:r>
        <w:rPr>
          <w:b w:val="0"/>
          <w:i w:val="0"/>
          <w:sz w:val="22"/>
        </w:rPr>
        <w:t xml:space="preserve"> a </w:t>
      </w:r>
      <w:r>
        <w:rPr>
          <w:b/>
          <w:i w:val="0"/>
          <w:sz w:val="22"/>
        </w:rPr>
        <w:t>classificação núcleo/satélite</w:t>
      </w:r>
      <w:r>
        <w:rPr>
          <w:b w:val="0"/>
          <w:i w:val="0"/>
          <w:sz w:val="22"/>
        </w:rPr>
        <w:t xml:space="preserve"> e a divisão entre </w:t>
      </w:r>
      <w:r>
        <w:rPr>
          <w:rFonts w:ascii="Consolas" w:hAnsi="Consolas"/>
          <w:b w:val="0"/>
          <w:i w:val="0"/>
          <w:color w:val="8B1A3A"/>
          <w:sz w:val="21"/>
        </w:rPr>
        <w:t>ms-clientes</w:t>
      </w:r>
      <w:r>
        <w:rPr>
          <w:b w:val="0"/>
          <w:i w:val="0"/>
          <w:sz w:val="22"/>
        </w:rPr>
        <w:t xml:space="preserve"> (dado de cliente e LGPD) e </w:t>
      </w:r>
      <w:r>
        <w:rPr>
          <w:rFonts w:ascii="Consolas" w:hAnsi="Consolas"/>
          <w:b w:val="0"/>
          <w:i w:val="0"/>
          <w:color w:val="8B1A3A"/>
          <w:sz w:val="21"/>
        </w:rPr>
        <w:t>ms-identidade</w:t>
      </w:r>
      <w:r>
        <w:rPr>
          <w:b w:val="0"/>
          <w:i w:val="0"/>
          <w:sz w:val="22"/>
        </w:rPr>
        <w:t xml:space="preserve"> (credencial e RBAC), que sem ela ficariam no mesmo serviço de plataforma.</w:t>
      </w:r>
    </w:p>
    <w:p>
      <w:pPr>
        <w:pStyle w:val="ListBullet"/>
      </w:pPr>
      <w:r>
        <w:rPr>
          <w:b/>
          <w:i w:val="0"/>
          <w:sz w:val="22"/>
        </w:rPr>
        <w:t>Contagem:</w:t>
      </w:r>
      <w:r>
        <w:rPr>
          <w:b w:val="0"/>
          <w:i w:val="0"/>
          <w:sz w:val="22"/>
        </w:rPr>
        <w:t xml:space="preserve"> 12 serviços (9 núcleo + 3 satélites), conforme a seção 1.1.2.</w:t>
      </w:r>
    </w:p>
    <w:p>
      <w:pPr>
        <w:pStyle w:val="Heading2"/>
      </w:pPr>
      <w:r>
        <w:rPr>
          <w:b w:val="0"/>
          <w:i w:val="0"/>
          <w:sz w:val="22"/>
        </w:rPr>
        <w:t>1.6 Glossário de nomes</w:t>
      </w:r>
    </w:p>
    <w:p>
      <w:r>
        <w:rPr>
          <w:b w:val="0"/>
          <w:i w:val="0"/>
          <w:sz w:val="22"/>
        </w:rPr>
        <w:t>Esta é a nomenclatura definitiva dos serviços. As seções 2, 3 e 4 deste documento, o diagrama de contexto e a comunicação entre serviços devem usar exatamente estes nomes.</w:t>
      </w:r>
    </w:p>
    <w:p>
      <w:pPr>
        <w:keepNext/>
        <w:spacing w:after="60" w:before="0"/>
        <w:jc w:val="left"/>
      </w:pPr>
      <w:r>
        <w:rPr>
          <w:b w:val="0"/>
          <w:i/>
          <w:color w:val="595959"/>
          <w:sz w:val="19"/>
        </w:rPr>
        <w:t>Tabela 6 — Glossário de nomes dos serviços</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2268"/>
            <w:shd w:val="clear" w:fill="F4E7EB"/>
          </w:tcPr>
          <w:p>
            <w:pPr>
              <w:spacing w:after="0"/>
              <w:jc w:val="left"/>
            </w:pPr>
            <w:r>
              <w:rPr>
                <w:b/>
              </w:rPr>
            </w:r>
            <w:r>
              <w:rPr>
                <w:b/>
                <w:i w:val="0"/>
                <w:sz w:val="19"/>
              </w:rPr>
              <w:t>Serviço</w:t>
            </w:r>
          </w:p>
        </w:tc>
        <w:tc>
          <w:tcPr>
            <w:tcW w:type="dxa" w:w="7370"/>
            <w:shd w:val="clear" w:fill="F4E7EB"/>
          </w:tcPr>
          <w:p>
            <w:pPr>
              <w:spacing w:after="0"/>
              <w:jc w:val="left"/>
            </w:pPr>
            <w:r>
              <w:rPr>
                <w:b/>
              </w:rPr>
            </w:r>
            <w:r>
              <w:rPr>
                <w:b/>
                <w:i w:val="0"/>
                <w:sz w:val="19"/>
              </w:rPr>
              <w:t>Classificação</w:t>
            </w:r>
          </w:p>
        </w:tc>
      </w:tr>
      <w:tr>
        <w:tc>
          <w:tcPr>
            <w:tcW w:type="dxa" w:w="2268"/>
          </w:tcPr>
          <w:p>
            <w:pPr>
              <w:spacing w:after="0" w:line="240" w:lineRule="auto"/>
              <w:jc w:val="left"/>
            </w:pPr>
            <w:r/>
            <w:r>
              <w:rPr>
                <w:rFonts w:ascii="Consolas" w:hAnsi="Consolas"/>
                <w:b w:val="0"/>
                <w:i w:val="0"/>
                <w:color w:val="8B1A3A"/>
                <w:sz w:val="18"/>
              </w:rPr>
              <w:t>ms-catalogo</w:t>
            </w:r>
          </w:p>
        </w:tc>
        <w:tc>
          <w:tcPr>
            <w:tcW w:type="dxa" w:w="7370"/>
          </w:tcPr>
          <w:p>
            <w:pPr>
              <w:spacing w:after="0" w:line="240" w:lineRule="auto"/>
              <w:jc w:val="left"/>
            </w:pPr>
            <w:r/>
            <w:r>
              <w:rPr>
                <w:b w:val="0"/>
                <w:i w:val="0"/>
                <w:sz w:val="19"/>
              </w:rPr>
              <w:t>Núcleo</w:t>
            </w:r>
          </w:p>
        </w:tc>
      </w:tr>
      <w:tr>
        <w:tc>
          <w:tcPr>
            <w:tcW w:type="dxa" w:w="2268"/>
          </w:tcPr>
          <w:p>
            <w:pPr>
              <w:spacing w:after="0" w:line="240" w:lineRule="auto"/>
              <w:jc w:val="left"/>
            </w:pPr>
            <w:r/>
            <w:r>
              <w:rPr>
                <w:rFonts w:ascii="Consolas" w:hAnsi="Consolas"/>
                <w:b w:val="0"/>
                <w:i w:val="0"/>
                <w:color w:val="8B1A3A"/>
                <w:sz w:val="18"/>
              </w:rPr>
              <w:t>ms-producao</w:t>
            </w:r>
          </w:p>
        </w:tc>
        <w:tc>
          <w:tcPr>
            <w:tcW w:type="dxa" w:w="7370"/>
          </w:tcPr>
          <w:p>
            <w:pPr>
              <w:spacing w:after="0" w:line="240" w:lineRule="auto"/>
              <w:jc w:val="left"/>
            </w:pPr>
            <w:r/>
            <w:r>
              <w:rPr>
                <w:b w:val="0"/>
                <w:i w:val="0"/>
                <w:sz w:val="19"/>
              </w:rPr>
              <w:t>Núcleo</w:t>
            </w:r>
          </w:p>
        </w:tc>
      </w:tr>
      <w:tr>
        <w:tc>
          <w:tcPr>
            <w:tcW w:type="dxa" w:w="2268"/>
          </w:tcPr>
          <w:p>
            <w:pPr>
              <w:spacing w:after="0" w:line="240" w:lineRule="auto"/>
              <w:jc w:val="left"/>
            </w:pPr>
            <w:r/>
            <w:r>
              <w:rPr>
                <w:rFonts w:ascii="Consolas" w:hAnsi="Consolas"/>
                <w:b w:val="0"/>
                <w:i w:val="0"/>
                <w:color w:val="8B1A3A"/>
                <w:sz w:val="18"/>
              </w:rPr>
              <w:t>ms-lotes</w:t>
            </w:r>
          </w:p>
        </w:tc>
        <w:tc>
          <w:tcPr>
            <w:tcW w:type="dxa" w:w="7370"/>
          </w:tcPr>
          <w:p>
            <w:pPr>
              <w:spacing w:after="0" w:line="240" w:lineRule="auto"/>
              <w:jc w:val="left"/>
            </w:pPr>
            <w:r/>
            <w:r>
              <w:rPr>
                <w:b w:val="0"/>
                <w:i w:val="0"/>
                <w:sz w:val="19"/>
              </w:rPr>
              <w:t>Núcleo</w:t>
            </w:r>
          </w:p>
        </w:tc>
      </w:tr>
      <w:tr>
        <w:tc>
          <w:tcPr>
            <w:tcW w:type="dxa" w:w="2268"/>
          </w:tcPr>
          <w:p>
            <w:pPr>
              <w:spacing w:after="0" w:line="240" w:lineRule="auto"/>
              <w:jc w:val="left"/>
            </w:pPr>
            <w:r/>
            <w:r>
              <w:rPr>
                <w:rFonts w:ascii="Consolas" w:hAnsi="Consolas"/>
                <w:b w:val="0"/>
                <w:i w:val="0"/>
                <w:color w:val="8B1A3A"/>
                <w:sz w:val="18"/>
              </w:rPr>
              <w:t>ms-estoque</w:t>
            </w:r>
          </w:p>
        </w:tc>
        <w:tc>
          <w:tcPr>
            <w:tcW w:type="dxa" w:w="7370"/>
          </w:tcPr>
          <w:p>
            <w:pPr>
              <w:spacing w:after="0" w:line="240" w:lineRule="auto"/>
              <w:jc w:val="left"/>
            </w:pPr>
            <w:r/>
            <w:r>
              <w:rPr>
                <w:b w:val="0"/>
                <w:i w:val="0"/>
                <w:sz w:val="19"/>
              </w:rPr>
              <w:t>Núcleo</w:t>
            </w:r>
          </w:p>
        </w:tc>
      </w:tr>
      <w:tr>
        <w:tc>
          <w:tcPr>
            <w:tcW w:type="dxa" w:w="2268"/>
          </w:tcPr>
          <w:p>
            <w:pPr>
              <w:spacing w:after="0" w:line="240" w:lineRule="auto"/>
              <w:jc w:val="left"/>
            </w:pPr>
            <w:r/>
            <w:r>
              <w:rPr>
                <w:rFonts w:ascii="Consolas" w:hAnsi="Consolas"/>
                <w:b w:val="0"/>
                <w:i w:val="0"/>
                <w:color w:val="8B1A3A"/>
                <w:sz w:val="18"/>
              </w:rPr>
              <w:t>ms-pedidos</w:t>
            </w:r>
          </w:p>
        </w:tc>
        <w:tc>
          <w:tcPr>
            <w:tcW w:type="dxa" w:w="7370"/>
          </w:tcPr>
          <w:p>
            <w:pPr>
              <w:spacing w:after="0" w:line="240" w:lineRule="auto"/>
              <w:jc w:val="left"/>
            </w:pPr>
            <w:r/>
            <w:r>
              <w:rPr>
                <w:b w:val="0"/>
                <w:i w:val="0"/>
                <w:sz w:val="19"/>
              </w:rPr>
              <w:t>Núcleo</w:t>
            </w:r>
          </w:p>
        </w:tc>
      </w:tr>
      <w:tr>
        <w:tc>
          <w:tcPr>
            <w:tcW w:type="dxa" w:w="2268"/>
          </w:tcPr>
          <w:p>
            <w:pPr>
              <w:spacing w:after="0" w:line="240" w:lineRule="auto"/>
              <w:jc w:val="left"/>
            </w:pPr>
            <w:r/>
            <w:r>
              <w:rPr>
                <w:rFonts w:ascii="Consolas" w:hAnsi="Consolas"/>
                <w:b w:val="0"/>
                <w:i w:val="0"/>
                <w:color w:val="8B1A3A"/>
                <w:sz w:val="18"/>
              </w:rPr>
              <w:t>ms-fornecedores</w:t>
            </w:r>
          </w:p>
        </w:tc>
        <w:tc>
          <w:tcPr>
            <w:tcW w:type="dxa" w:w="7370"/>
          </w:tcPr>
          <w:p>
            <w:pPr>
              <w:spacing w:after="0" w:line="240" w:lineRule="auto"/>
              <w:jc w:val="left"/>
            </w:pPr>
            <w:r/>
            <w:r>
              <w:rPr>
                <w:b w:val="0"/>
                <w:i w:val="0"/>
                <w:sz w:val="19"/>
              </w:rPr>
              <w:t>Núcleo</w:t>
            </w:r>
          </w:p>
        </w:tc>
      </w:tr>
      <w:tr>
        <w:tc>
          <w:tcPr>
            <w:tcW w:type="dxa" w:w="2268"/>
          </w:tcPr>
          <w:p>
            <w:pPr>
              <w:spacing w:after="0" w:line="240" w:lineRule="auto"/>
              <w:jc w:val="left"/>
            </w:pPr>
            <w:r/>
            <w:r>
              <w:rPr>
                <w:rFonts w:ascii="Consolas" w:hAnsi="Consolas"/>
                <w:b w:val="0"/>
                <w:i w:val="0"/>
                <w:color w:val="8B1A3A"/>
                <w:sz w:val="18"/>
              </w:rPr>
              <w:t>ms-qualidade</w:t>
            </w:r>
          </w:p>
        </w:tc>
        <w:tc>
          <w:tcPr>
            <w:tcW w:type="dxa" w:w="7370"/>
          </w:tcPr>
          <w:p>
            <w:pPr>
              <w:spacing w:after="0" w:line="240" w:lineRule="auto"/>
              <w:jc w:val="left"/>
            </w:pPr>
            <w:r/>
            <w:r>
              <w:rPr>
                <w:b w:val="0"/>
                <w:i w:val="0"/>
                <w:sz w:val="19"/>
              </w:rPr>
              <w:t>Núcleo</w:t>
            </w:r>
          </w:p>
        </w:tc>
      </w:tr>
      <w:tr>
        <w:tc>
          <w:tcPr>
            <w:tcW w:type="dxa" w:w="2268"/>
          </w:tcPr>
          <w:p>
            <w:pPr>
              <w:spacing w:after="0" w:line="240" w:lineRule="auto"/>
              <w:jc w:val="left"/>
            </w:pPr>
            <w:r/>
            <w:r>
              <w:rPr>
                <w:rFonts w:ascii="Consolas" w:hAnsi="Consolas"/>
                <w:b w:val="0"/>
                <w:i w:val="0"/>
                <w:color w:val="8B1A3A"/>
                <w:sz w:val="18"/>
              </w:rPr>
              <w:t>ms-clientes</w:t>
            </w:r>
          </w:p>
        </w:tc>
        <w:tc>
          <w:tcPr>
            <w:tcW w:type="dxa" w:w="7370"/>
          </w:tcPr>
          <w:p>
            <w:pPr>
              <w:spacing w:after="0" w:line="240" w:lineRule="auto"/>
              <w:jc w:val="left"/>
            </w:pPr>
            <w:r/>
            <w:r>
              <w:rPr>
                <w:b w:val="0"/>
                <w:i w:val="0"/>
                <w:sz w:val="19"/>
              </w:rPr>
              <w:t>Núcleo</w:t>
            </w:r>
          </w:p>
        </w:tc>
      </w:tr>
      <w:tr>
        <w:tc>
          <w:tcPr>
            <w:tcW w:type="dxa" w:w="2268"/>
          </w:tcPr>
          <w:p>
            <w:pPr>
              <w:spacing w:after="0" w:line="240" w:lineRule="auto"/>
              <w:jc w:val="left"/>
            </w:pPr>
            <w:r/>
            <w:r>
              <w:rPr>
                <w:rFonts w:ascii="Consolas" w:hAnsi="Consolas"/>
                <w:b w:val="0"/>
                <w:i w:val="0"/>
                <w:color w:val="8B1A3A"/>
                <w:sz w:val="18"/>
              </w:rPr>
              <w:t>ms-pagamentos</w:t>
            </w:r>
          </w:p>
        </w:tc>
        <w:tc>
          <w:tcPr>
            <w:tcW w:type="dxa" w:w="7370"/>
          </w:tcPr>
          <w:p>
            <w:pPr>
              <w:spacing w:after="0" w:line="240" w:lineRule="auto"/>
              <w:jc w:val="left"/>
            </w:pPr>
            <w:r/>
            <w:r>
              <w:rPr>
                <w:b w:val="0"/>
                <w:i w:val="0"/>
                <w:sz w:val="19"/>
              </w:rPr>
              <w:t>Núcleo</w:t>
            </w:r>
          </w:p>
        </w:tc>
      </w:tr>
      <w:tr>
        <w:tc>
          <w:tcPr>
            <w:tcW w:type="dxa" w:w="2268"/>
          </w:tcPr>
          <w:p>
            <w:pPr>
              <w:spacing w:after="0" w:line="240" w:lineRule="auto"/>
              <w:jc w:val="left"/>
            </w:pPr>
            <w:r/>
            <w:r>
              <w:rPr>
                <w:rFonts w:ascii="Consolas" w:hAnsi="Consolas"/>
                <w:b w:val="0"/>
                <w:i w:val="0"/>
                <w:color w:val="8B1A3A"/>
                <w:sz w:val="18"/>
              </w:rPr>
              <w:t>ms-identidade</w:t>
            </w:r>
          </w:p>
        </w:tc>
        <w:tc>
          <w:tcPr>
            <w:tcW w:type="dxa" w:w="7370"/>
          </w:tcPr>
          <w:p>
            <w:pPr>
              <w:spacing w:after="0" w:line="240" w:lineRule="auto"/>
              <w:jc w:val="left"/>
            </w:pPr>
            <w:r/>
            <w:r>
              <w:rPr>
                <w:b w:val="0"/>
                <w:i w:val="0"/>
                <w:sz w:val="19"/>
              </w:rPr>
              <w:t>Satélite</w:t>
            </w:r>
          </w:p>
        </w:tc>
      </w:tr>
      <w:tr>
        <w:tc>
          <w:tcPr>
            <w:tcW w:type="dxa" w:w="2268"/>
          </w:tcPr>
          <w:p>
            <w:pPr>
              <w:spacing w:after="0" w:line="240" w:lineRule="auto"/>
              <w:jc w:val="left"/>
            </w:pPr>
            <w:r/>
            <w:r>
              <w:rPr>
                <w:rFonts w:ascii="Consolas" w:hAnsi="Consolas"/>
                <w:b w:val="0"/>
                <w:i w:val="0"/>
                <w:color w:val="8B1A3A"/>
                <w:sz w:val="18"/>
              </w:rPr>
              <w:t>ms-notificacoes</w:t>
            </w:r>
          </w:p>
        </w:tc>
        <w:tc>
          <w:tcPr>
            <w:tcW w:type="dxa" w:w="7370"/>
          </w:tcPr>
          <w:p>
            <w:pPr>
              <w:spacing w:after="0" w:line="240" w:lineRule="auto"/>
              <w:jc w:val="left"/>
            </w:pPr>
            <w:r/>
            <w:r>
              <w:rPr>
                <w:b w:val="0"/>
                <w:i w:val="0"/>
                <w:sz w:val="19"/>
              </w:rPr>
              <w:t>Satélite</w:t>
            </w:r>
          </w:p>
        </w:tc>
      </w:tr>
      <w:tr>
        <w:tc>
          <w:tcPr>
            <w:tcW w:type="dxa" w:w="2268"/>
          </w:tcPr>
          <w:p>
            <w:pPr>
              <w:spacing w:after="0" w:line="240" w:lineRule="auto"/>
              <w:jc w:val="left"/>
            </w:pPr>
            <w:r/>
            <w:r>
              <w:rPr>
                <w:rFonts w:ascii="Consolas" w:hAnsi="Consolas"/>
                <w:b w:val="0"/>
                <w:i w:val="0"/>
                <w:color w:val="8B1A3A"/>
                <w:sz w:val="18"/>
              </w:rPr>
              <w:t>ms-analytics</w:t>
            </w:r>
          </w:p>
        </w:tc>
        <w:tc>
          <w:tcPr>
            <w:tcW w:type="dxa" w:w="7370"/>
          </w:tcPr>
          <w:p>
            <w:pPr>
              <w:spacing w:after="0" w:line="240" w:lineRule="auto"/>
              <w:jc w:val="left"/>
            </w:pPr>
            <w:r/>
            <w:r>
              <w:rPr>
                <w:b w:val="0"/>
                <w:i w:val="0"/>
                <w:sz w:val="19"/>
              </w:rPr>
              <w:t>Satélite</w:t>
            </w:r>
          </w:p>
        </w:tc>
      </w:tr>
    </w:tbl>
    <w:p>
      <w:r>
        <w:rPr>
          <w:b w:val="0"/>
          <w:i w:val="0"/>
          <w:sz w:val="22"/>
        </w:rPr>
        <w:t xml:space="preserve">Tópicos de evento seguem a lista já escrita na seção 5, para não haver duas grafias: </w:t>
      </w:r>
      <w:r>
        <w:rPr>
          <w:rFonts w:ascii="Consolas" w:hAnsi="Consolas"/>
          <w:b w:val="0"/>
          <w:i w:val="0"/>
          <w:color w:val="8B1A3A"/>
          <w:sz w:val="21"/>
        </w:rPr>
        <w:t>pedido.criado</w:t>
      </w:r>
      <w:r>
        <w:rPr>
          <w:b w:val="0"/>
          <w:i w:val="0"/>
          <w:sz w:val="22"/>
        </w:rPr>
        <w:t xml:space="preserve">, </w:t>
      </w:r>
      <w:r>
        <w:rPr>
          <w:rFonts w:ascii="Consolas" w:hAnsi="Consolas"/>
          <w:b w:val="0"/>
          <w:i w:val="0"/>
          <w:color w:val="8B1A3A"/>
          <w:sz w:val="21"/>
        </w:rPr>
        <w:t>estoque.reservado</w:t>
      </w:r>
      <w:r>
        <w:rPr>
          <w:b w:val="0"/>
          <w:i w:val="0"/>
          <w:sz w:val="22"/>
        </w:rPr>
        <w:t xml:space="preserve">, </w:t>
      </w:r>
      <w:r>
        <w:rPr>
          <w:rFonts w:ascii="Consolas" w:hAnsi="Consolas"/>
          <w:b w:val="0"/>
          <w:i w:val="0"/>
          <w:color w:val="8B1A3A"/>
          <w:sz w:val="21"/>
        </w:rPr>
        <w:t>pagamento.aprovado</w:t>
      </w:r>
      <w:r>
        <w:rPr>
          <w:b w:val="0"/>
          <w:i w:val="0"/>
          <w:sz w:val="22"/>
        </w:rPr>
        <w:t xml:space="preserve">, </w:t>
      </w:r>
      <w:r>
        <w:rPr>
          <w:rFonts w:ascii="Consolas" w:hAnsi="Consolas"/>
          <w:b w:val="0"/>
          <w:i w:val="0"/>
          <w:color w:val="8B1A3A"/>
          <w:sz w:val="21"/>
        </w:rPr>
        <w:t>pagamento.recusado</w:t>
      </w:r>
      <w:r>
        <w:rPr>
          <w:b w:val="0"/>
          <w:i w:val="0"/>
          <w:sz w:val="22"/>
        </w:rPr>
        <w:t xml:space="preserve">, </w:t>
      </w:r>
      <w:r>
        <w:rPr>
          <w:rFonts w:ascii="Consolas" w:hAnsi="Consolas"/>
          <w:b w:val="0"/>
          <w:i w:val="0"/>
          <w:color w:val="8B1A3A"/>
          <w:sz w:val="21"/>
        </w:rPr>
        <w:t>lote.criado</w:t>
      </w:r>
      <w:r>
        <w:rPr>
          <w:b w:val="0"/>
          <w:i w:val="0"/>
          <w:sz w:val="22"/>
        </w:rPr>
        <w:t xml:space="preserve">, </w:t>
      </w:r>
      <w:r>
        <w:rPr>
          <w:rFonts w:ascii="Consolas" w:hAnsi="Consolas"/>
          <w:b w:val="0"/>
          <w:i w:val="0"/>
          <w:color w:val="8B1A3A"/>
          <w:sz w:val="21"/>
        </w:rPr>
        <w:t>qualidade.leitura</w:t>
      </w:r>
      <w:r>
        <w:rPr>
          <w:b w:val="0"/>
          <w:i w:val="0"/>
          <w:sz w:val="22"/>
        </w:rPr>
        <w:t xml:space="preserve">, </w:t>
      </w:r>
      <w:r>
        <w:rPr>
          <w:rFonts w:ascii="Consolas" w:hAnsi="Consolas"/>
          <w:b w:val="0"/>
          <w:i w:val="0"/>
          <w:color w:val="8B1A3A"/>
          <w:sz w:val="21"/>
        </w:rPr>
        <w:t>qualidade.alerta</w:t>
      </w:r>
      <w:r>
        <w:rPr>
          <w:b w:val="0"/>
          <w:i w:val="0"/>
          <w:sz w:val="22"/>
        </w:rPr>
        <w:t xml:space="preserve">, </w:t>
      </w:r>
      <w:r>
        <w:rPr>
          <w:rFonts w:ascii="Consolas" w:hAnsi="Consolas"/>
          <w:b w:val="0"/>
          <w:i w:val="0"/>
          <w:color w:val="8B1A3A"/>
          <w:sz w:val="21"/>
        </w:rPr>
        <w:t>notificacao.enviar</w:t>
      </w:r>
      <w:r>
        <w:rPr>
          <w:b w:val="0"/>
          <w:i w:val="0"/>
          <w:sz w:val="22"/>
        </w:rPr>
        <w:t xml:space="preserve"> e </w:t>
      </w:r>
      <w:r>
        <w:rPr>
          <w:rFonts w:ascii="Consolas" w:hAnsi="Consolas"/>
          <w:b w:val="0"/>
          <w:i w:val="0"/>
          <w:color w:val="8B1A3A"/>
          <w:sz w:val="21"/>
        </w:rPr>
        <w:t>cliente.anonimizado</w:t>
      </w:r>
      <w:r>
        <w:rPr>
          <w:b w:val="0"/>
          <w:i w:val="0"/>
          <w:sz w:val="22"/>
        </w:rPr>
        <w:t xml:space="preserve">. Formato </w:t>
      </w:r>
      <w:r>
        <w:rPr>
          <w:rFonts w:ascii="Consolas" w:hAnsi="Consolas"/>
          <w:b w:val="0"/>
          <w:i w:val="0"/>
          <w:color w:val="8B1A3A"/>
          <w:sz w:val="21"/>
        </w:rPr>
        <w:t>&lt;dominio&gt;.&lt;evento&gt;</w:t>
      </w:r>
      <w:r>
        <w:rPr>
          <w:b w:val="0"/>
          <w:i w:val="0"/>
          <w:sz w:val="22"/>
        </w:rPr>
        <w:t xml:space="preserve">, minúsculo, sem prefixo de turma; fila morta como </w:t>
      </w:r>
      <w:r>
        <w:rPr>
          <w:rFonts w:ascii="Consolas" w:hAnsi="Consolas"/>
          <w:b w:val="0"/>
          <w:i w:val="0"/>
          <w:color w:val="8B1A3A"/>
          <w:sz w:val="21"/>
        </w:rPr>
        <w:t>&lt;topico&gt;.DLQ</w:t>
      </w:r>
      <w:r>
        <w:rPr>
          <w:b w:val="0"/>
          <w:i w:val="0"/>
          <w:sz w:val="22"/>
        </w:rPr>
        <w:t>.</w:t>
      </w:r>
    </w:p>
    <w:p>
      <w:pPr>
        <w:sectPr>
          <w:pgSz w:w="11906" w:h="16838"/>
          <w:pgMar w:top="1134" w:right="1134" w:bottom="1134" w:left="1417" w:header="720" w:footer="720" w:gutter="0"/>
          <w:cols w:space="720"/>
          <w:docGrid w:linePitch="360"/>
        </w:sectPr>
      </w:pPr>
    </w:p>
    <w:p>
      <w:pPr>
        <w:pStyle w:val="Heading1"/>
      </w:pPr>
      <w:r>
        <w:rPr>
          <w:b w:val="0"/>
          <w:i w:val="0"/>
          <w:sz w:val="22"/>
        </w:rPr>
        <w:t>2. Diagrama de Arquitetura</w:t>
      </w:r>
    </w:p>
    <w:p>
      <w:r>
        <w:rPr>
          <w:b w:val="0"/>
          <w:i/>
          <w:color w:val="595959"/>
          <w:sz w:val="19"/>
        </w:rPr>
        <w:t>Responsável: Kevin Benevides da Silva Romariz — RM 557898 · Período: 22/09/2026 a 28/09/2026 · Revisões de consolidação de 29/09/2026 e 01/10/2026 (Yasmin Kimura)</w:t>
      </w:r>
    </w:p>
    <w:p>
      <w:pPr>
        <w:sectPr>
          <w:pgSz w:w="11906" w:h="16838"/>
          <w:pgMar w:top="1134" w:right="1134" w:bottom="1134" w:left="1417" w:header="720" w:footer="720" w:gutter="0"/>
          <w:cols w:space="720"/>
          <w:docGrid w:linePitch="360"/>
        </w:sectPr>
      </w:pPr>
    </w:p>
    <w:p>
      <w:pPr>
        <w:spacing w:after="80"/>
        <w:jc w:val="center"/>
      </w:pPr>
      <w:r>
        <w:drawing>
          <wp:inline xmlns:a="http://schemas.openxmlformats.org/drawingml/2006/main" xmlns:pic="http://schemas.openxmlformats.org/drawingml/2006/picture">
            <wp:extent cx="7141130" cy="5580000"/>
            <wp:docPr id="1" name="Picture 1"/>
            <wp:cNvGraphicFramePr>
              <a:graphicFrameLocks noChangeAspect="1"/>
            </wp:cNvGraphicFramePr>
            <a:graphic>
              <a:graphicData uri="http://schemas.openxmlformats.org/drawingml/2006/picture">
                <pic:pic>
                  <pic:nvPicPr>
                    <pic:cNvPr id="0" name="P2_arquitetura.png"/>
                    <pic:cNvPicPr/>
                  </pic:nvPicPr>
                  <pic:blipFill>
                    <a:blip r:embed="rId10"/>
                    <a:stretch>
                      <a:fillRect/>
                    </a:stretch>
                  </pic:blipFill>
                  <pic:spPr>
                    <a:xfrm>
                      <a:off x="0" y="0"/>
                      <a:ext cx="7141130" cy="5580000"/>
                    </a:xfrm>
                    <a:prstGeom prst="rect"/>
                  </pic:spPr>
                </pic:pic>
              </a:graphicData>
            </a:graphic>
          </wp:inline>
        </w:drawing>
      </w:r>
    </w:p>
    <w:p>
      <w:pPr>
        <w:keepNext w:val="0"/>
        <w:spacing w:after="120" w:before="60"/>
        <w:jc w:val="center"/>
      </w:pPr>
      <w:r>
        <w:rPr>
          <w:b w:val="0"/>
          <w:i/>
          <w:color w:val="595959"/>
          <w:sz w:val="19"/>
        </w:rPr>
        <w:t>Figura 1 — Arquitetura de microsserviços da Vinheria Agnello: visão geral com os 12 serviços, o API Gateway, o Kafka, a migração Strangler Fig e o fluxo IoT da adega</w:t>
      </w:r>
    </w:p>
    <w:p>
      <w:pPr>
        <w:sectPr>
          <w:pgSz w:w="16838" w:h="11906" w:orient="landscape"/>
          <w:pgMar w:top="850" w:right="850" w:bottom="850" w:left="850" w:header="720" w:footer="720" w:gutter="0"/>
          <w:cols w:space="720"/>
          <w:docGrid w:linePitch="360"/>
        </w:sectPr>
      </w:pPr>
    </w:p>
    <w:p>
      <w:pPr>
        <w:ind w:left="454"/>
      </w:pPr>
      <w:r>
        <w:rPr>
          <w:b w:val="0"/>
          <w:i/>
          <w:color w:val="595959"/>
          <w:sz w:val="20"/>
        </w:rPr>
        <w:t xml:space="preserve">As figuras deste documento usam os arquivos </w:t>
      </w:r>
      <w:r>
        <w:rPr>
          <w:rFonts w:ascii="Consolas" w:hAnsi="Consolas"/>
          <w:b w:val="0"/>
          <w:i/>
          <w:color w:val="595959"/>
          <w:sz w:val="19"/>
        </w:rPr>
        <w:t>.png</w:t>
      </w:r>
      <w:r>
        <w:rPr>
          <w:b w:val="0"/>
          <w:i/>
          <w:color w:val="595959"/>
          <w:sz w:val="20"/>
        </w:rPr>
        <w:t xml:space="preserve"> (3992 × 3126 px, cerca de 394 dpi na largura útil de uma página A4 paisagem); os </w:t>
      </w:r>
      <w:r>
        <w:rPr>
          <w:rFonts w:ascii="Consolas" w:hAnsi="Consolas"/>
          <w:b w:val="0"/>
          <w:i/>
          <w:color w:val="595959"/>
          <w:sz w:val="19"/>
        </w:rPr>
        <w:t>.svg</w:t>
      </w:r>
      <w:r>
        <w:rPr>
          <w:b w:val="0"/>
          <w:i/>
          <w:color w:val="595959"/>
          <w:sz w:val="20"/>
        </w:rPr>
        <w:t xml:space="preserve"> do mesmo desenho, com o texto convertido em curvas, estão no repositório, em </w:t>
      </w:r>
      <w:r>
        <w:rPr>
          <w:rFonts w:ascii="Consolas" w:hAnsi="Consolas"/>
          <w:b w:val="0"/>
          <w:i/>
          <w:color w:val="595959"/>
          <w:sz w:val="19"/>
        </w:rPr>
        <w:t>Documentacao/Fase6/</w:t>
      </w:r>
      <w:r>
        <w:rPr>
          <w:b w:val="0"/>
          <w:i/>
          <w:color w:val="595959"/>
          <w:sz w:val="20"/>
        </w:rPr>
        <w:t>.</w:t>
      </w:r>
    </w:p>
    <w:p>
      <w:pPr>
        <w:pStyle w:val="Heading2"/>
      </w:pPr>
      <w:r>
        <w:rPr>
          <w:b w:val="0"/>
          <w:i w:val="0"/>
          <w:sz w:val="22"/>
        </w:rPr>
        <w:t>2.1 Como ler o diagrama</w:t>
      </w:r>
    </w:p>
    <w:p>
      <w:r>
        <w:rPr>
          <w:b w:val="0"/>
          <w:i w:val="0"/>
          <w:sz w:val="22"/>
        </w:rPr>
        <w:t xml:space="preserve">O desenho é lido da esquerda para a direita. Os </w:t>
      </w:r>
      <w:r>
        <w:rPr>
          <w:b/>
          <w:i w:val="0"/>
          <w:sz w:val="22"/>
        </w:rPr>
        <w:t>clientes</w:t>
      </w:r>
      <w:r>
        <w:rPr>
          <w:b w:val="0"/>
          <w:i w:val="0"/>
          <w:sz w:val="22"/>
        </w:rPr>
        <w:t xml:space="preserve"> — web (páginas JSP atuais, em </w:t>
      </w:r>
      <w:r>
        <w:rPr>
          <w:rFonts w:ascii="Consolas" w:hAnsi="Consolas"/>
          <w:b w:val="0"/>
          <w:i w:val="0"/>
          <w:color w:val="8B1A3A"/>
          <w:sz w:val="21"/>
        </w:rPr>
        <w:t>Web/src/main/java/br/com/fiap/vinheriaagnello/</w:t>
      </w:r>
      <w:r>
        <w:rPr>
          <w:b w:val="0"/>
          <w:i w:val="0"/>
          <w:sz w:val="22"/>
        </w:rPr>
        <w:t xml:space="preserve">), app mobile (Android/Room, em </w:t>
      </w:r>
      <w:r>
        <w:rPr>
          <w:rFonts w:ascii="Consolas" w:hAnsi="Consolas"/>
          <w:b w:val="0"/>
          <w:i w:val="0"/>
          <w:color w:val="8B1A3A"/>
          <w:sz w:val="21"/>
        </w:rPr>
        <w:t>Mobile/app/src/main/java/com/example/myapplication/data/local/</w:t>
      </w:r>
      <w:r>
        <w:rPr>
          <w:b w:val="0"/>
          <w:i w:val="0"/>
          <w:sz w:val="22"/>
        </w:rPr>
        <w:t xml:space="preserve">) e painel interno da adega — só entram no sistema pelo </w:t>
      </w:r>
      <w:r>
        <w:rPr>
          <w:b/>
          <w:i w:val="0"/>
          <w:sz w:val="22"/>
        </w:rPr>
        <w:t>API Gateway</w:t>
      </w:r>
      <w:r>
        <w:rPr>
          <w:b w:val="0"/>
          <w:i w:val="0"/>
          <w:sz w:val="22"/>
        </w:rPr>
        <w:t>. Ele roteia por prefixo (</w:t>
      </w:r>
      <w:r>
        <w:rPr>
          <w:rFonts w:ascii="Consolas" w:hAnsi="Consolas"/>
          <w:b w:val="0"/>
          <w:i w:val="0"/>
          <w:color w:val="8B1A3A"/>
          <w:sz w:val="21"/>
        </w:rPr>
        <w:t>/api/&lt;dominio&gt;</w:t>
      </w:r>
      <w:r>
        <w:rPr>
          <w:b w:val="0"/>
          <w:i w:val="0"/>
          <w:sz w:val="22"/>
        </w:rPr>
        <w:t xml:space="preserve"> → </w:t>
      </w:r>
      <w:r>
        <w:rPr>
          <w:rFonts w:ascii="Consolas" w:hAnsi="Consolas"/>
          <w:b w:val="0"/>
          <w:i w:val="0"/>
          <w:color w:val="8B1A3A"/>
          <w:sz w:val="21"/>
        </w:rPr>
        <w:t>ms-&lt;dominio&gt;</w:t>
      </w:r>
      <w:r>
        <w:rPr>
          <w:b w:val="0"/>
          <w:i w:val="0"/>
          <w:sz w:val="22"/>
        </w:rPr>
        <w:t xml:space="preserve">), valida o JWT emitido pelo </w:t>
      </w:r>
      <w:r>
        <w:rPr>
          <w:rFonts w:ascii="Consolas" w:hAnsi="Consolas"/>
          <w:b w:val="0"/>
          <w:i w:val="0"/>
          <w:color w:val="8B1A3A"/>
          <w:sz w:val="21"/>
        </w:rPr>
        <w:t>ms-identidade</w:t>
      </w:r>
      <w:r>
        <w:rPr>
          <w:b w:val="0"/>
          <w:i w:val="0"/>
          <w:sz w:val="22"/>
        </w:rPr>
        <w:t xml:space="preserve"> (Keycloak, ADR-002 — </w:t>
      </w:r>
      <w:r>
        <w:rPr>
          <w:rFonts w:ascii="Consolas" w:hAnsi="Consolas"/>
          <w:b w:val="0"/>
          <w:i w:val="0"/>
          <w:color w:val="8B1A3A"/>
          <w:sz w:val="21"/>
        </w:rPr>
        <w:t>Documentacao/Fase6/adr/ADR-002-validacao-token-gateway.md</w:t>
      </w:r>
      <w:r>
        <w:rPr>
          <w:b w:val="0"/>
          <w:i w:val="0"/>
          <w:sz w:val="22"/>
        </w:rPr>
        <w:t xml:space="preserve">), aplica o </w:t>
      </w:r>
      <w:r>
        <w:rPr>
          <w:b w:val="0"/>
          <w:i/>
          <w:sz w:val="22"/>
        </w:rPr>
        <w:t>rate limit</w:t>
      </w:r>
      <w:r>
        <w:rPr>
          <w:b w:val="0"/>
          <w:i w:val="0"/>
          <w:sz w:val="22"/>
        </w:rPr>
        <w:t xml:space="preserve"> com contadores no Redis e faz a agregação (BFF) do app mobile. Dentro da </w:t>
      </w:r>
      <w:r>
        <w:rPr>
          <w:b/>
          <w:i w:val="0"/>
          <w:sz w:val="22"/>
        </w:rPr>
        <w:t>malha de serviços</w:t>
      </w:r>
      <w:r>
        <w:rPr>
          <w:b w:val="0"/>
          <w:i w:val="0"/>
          <w:sz w:val="22"/>
        </w:rPr>
        <w:t>, toda chamada trafega com mTLS.</w:t>
      </w:r>
    </w:p>
    <w:p>
      <w:r>
        <w:rPr>
          <w:b w:val="0"/>
          <w:i w:val="0"/>
          <w:sz w:val="22"/>
        </w:rPr>
        <w:t xml:space="preserve">Os </w:t>
      </w:r>
      <w:r>
        <w:rPr>
          <w:b/>
          <w:i w:val="0"/>
          <w:sz w:val="22"/>
        </w:rPr>
        <w:t>12 serviços</w:t>
      </w:r>
      <w:r>
        <w:rPr>
          <w:b w:val="0"/>
          <w:i w:val="0"/>
          <w:sz w:val="22"/>
        </w:rPr>
        <w:t xml:space="preserve"> da lista congelada da seção 1 aparecem com os mesmos nomes: 9 de núcleo e 3 satélites de plataforma. Cada um tem </w:t>
      </w:r>
      <w:r>
        <w:rPr>
          <w:b/>
          <w:i w:val="0"/>
          <w:sz w:val="22"/>
        </w:rPr>
        <w:t>seu próprio banco</w:t>
      </w:r>
      <w:r>
        <w:rPr>
          <w:b w:val="0"/>
          <w:i w:val="0"/>
          <w:sz w:val="22"/>
        </w:rPr>
        <w:t xml:space="preserve"> (Database per Service): PostgreSQL na maioria, MongoDB no </w:t>
      </w:r>
      <w:r>
        <w:rPr>
          <w:rFonts w:ascii="Consolas" w:hAnsi="Consolas"/>
          <w:b w:val="0"/>
          <w:i w:val="0"/>
          <w:color w:val="8B1A3A"/>
          <w:sz w:val="21"/>
        </w:rPr>
        <w:t>ms-catalogo</w:t>
      </w:r>
      <w:r>
        <w:rPr>
          <w:b w:val="0"/>
          <w:i w:val="0"/>
          <w:sz w:val="22"/>
        </w:rPr>
        <w:t xml:space="preserve">, TimescaleDB (série temporal) no </w:t>
      </w:r>
      <w:r>
        <w:rPr>
          <w:rFonts w:ascii="Consolas" w:hAnsi="Consolas"/>
          <w:b w:val="0"/>
          <w:i w:val="0"/>
          <w:color w:val="8B1A3A"/>
          <w:sz w:val="21"/>
        </w:rPr>
        <w:t>ms-qualidade</w:t>
      </w:r>
      <w:r>
        <w:rPr>
          <w:b w:val="0"/>
          <w:i w:val="0"/>
          <w:sz w:val="22"/>
        </w:rPr>
        <w:t xml:space="preserve"> e um read-model PostgreSQL no </w:t>
      </w:r>
      <w:r>
        <w:rPr>
          <w:rFonts w:ascii="Consolas" w:hAnsi="Consolas"/>
          <w:b w:val="0"/>
          <w:i w:val="0"/>
          <w:color w:val="8B1A3A"/>
          <w:sz w:val="21"/>
        </w:rPr>
        <w:t>ms-analytics</w:t>
      </w:r>
      <w:r>
        <w:rPr>
          <w:b w:val="0"/>
          <w:i w:val="0"/>
          <w:sz w:val="22"/>
        </w:rPr>
        <w:t xml:space="preserve">. Nenhuma linha liga um serviço ao banco de outro. As setas azuis contínuas dentro da malha são as chamadas </w:t>
      </w:r>
      <w:r>
        <w:rPr>
          <w:b/>
          <w:i w:val="0"/>
          <w:sz w:val="22"/>
        </w:rPr>
        <w:t>síncronas</w:t>
      </w:r>
      <w:r>
        <w:rPr>
          <w:b w:val="0"/>
          <w:i w:val="0"/>
          <w:sz w:val="22"/>
        </w:rPr>
        <w:t xml:space="preserve"> entre serviços: </w:t>
      </w:r>
      <w:r>
        <w:rPr>
          <w:rFonts w:ascii="Consolas" w:hAnsi="Consolas"/>
          <w:b w:val="0"/>
          <w:i w:val="0"/>
          <w:color w:val="8B1A3A"/>
          <w:sz w:val="21"/>
        </w:rPr>
        <w:t>ms-pedidos → ms-estoque</w:t>
      </w:r>
      <w:r>
        <w:rPr>
          <w:b w:val="0"/>
          <w:i w:val="0"/>
          <w:sz w:val="22"/>
        </w:rPr>
        <w:t xml:space="preserve"> (consulta de saldo), </w:t>
      </w:r>
      <w:r>
        <w:rPr>
          <w:rFonts w:ascii="Consolas" w:hAnsi="Consolas"/>
          <w:b w:val="0"/>
          <w:i w:val="0"/>
          <w:color w:val="8B1A3A"/>
          <w:sz w:val="21"/>
        </w:rPr>
        <w:t>ms-pedidos → ms-catalogo</w:t>
      </w:r>
      <w:r>
        <w:rPr>
          <w:b w:val="0"/>
          <w:i w:val="0"/>
          <w:sz w:val="22"/>
        </w:rPr>
        <w:t xml:space="preserve"> e </w:t>
      </w:r>
      <w:r>
        <w:rPr>
          <w:rFonts w:ascii="Consolas" w:hAnsi="Consolas"/>
          <w:b w:val="0"/>
          <w:i w:val="0"/>
          <w:color w:val="8B1A3A"/>
          <w:sz w:val="21"/>
        </w:rPr>
        <w:t>ms-pedidos → ms-clientes</w:t>
      </w:r>
      <w:r>
        <w:rPr>
          <w:b w:val="0"/>
          <w:i w:val="0"/>
          <w:sz w:val="22"/>
        </w:rPr>
        <w:t xml:space="preserve"> (validação na criação do pedido) e </w:t>
      </w:r>
      <w:r>
        <w:rPr>
          <w:rFonts w:ascii="Consolas" w:hAnsi="Consolas"/>
          <w:b w:val="0"/>
          <w:i w:val="0"/>
          <w:color w:val="8B1A3A"/>
          <w:sz w:val="21"/>
        </w:rPr>
        <w:t>ms-pagamentos → ms-pedidos</w:t>
      </w:r>
      <w:r>
        <w:rPr>
          <w:b w:val="0"/>
          <w:i w:val="0"/>
          <w:sz w:val="22"/>
        </w:rPr>
        <w:t xml:space="preserve"> (consulta administrativa de conciliação). Elas existem onde a resposta é necessária para continuar; todo o resto da conversa entre serviços é evento no Kafka.</w:t>
      </w:r>
    </w:p>
    <w:p>
      <w:r>
        <w:rPr>
          <w:b w:val="0"/>
          <w:i w:val="0"/>
          <w:sz w:val="22"/>
        </w:rPr>
        <w:t xml:space="preserve">A camada assíncrona é o </w:t>
      </w:r>
      <w:r>
        <w:rPr>
          <w:b/>
          <w:i w:val="0"/>
          <w:sz w:val="22"/>
        </w:rPr>
        <w:t>Apache Kafka</w:t>
      </w:r>
      <w:r>
        <w:rPr>
          <w:b w:val="0"/>
          <w:i w:val="0"/>
          <w:sz w:val="22"/>
        </w:rPr>
        <w:t xml:space="preserve">. A tabela dentro do bloco lista cada tópico com seu produtor e seus consumidores. O fluxo de compra segue a saga da seção 5: </w:t>
      </w:r>
      <w:r>
        <w:rPr>
          <w:rFonts w:ascii="Consolas" w:hAnsi="Consolas"/>
          <w:b w:val="0"/>
          <w:i w:val="0"/>
          <w:color w:val="8B1A3A"/>
          <w:sz w:val="21"/>
        </w:rPr>
        <w:t>pedido.criado</w:t>
      </w:r>
      <w:r>
        <w:rPr>
          <w:b w:val="0"/>
          <w:i w:val="0"/>
          <w:sz w:val="22"/>
        </w:rPr>
        <w:t xml:space="preserve"> → </w:t>
      </w:r>
      <w:r>
        <w:rPr>
          <w:rFonts w:ascii="Consolas" w:hAnsi="Consolas"/>
          <w:b w:val="0"/>
          <w:i w:val="0"/>
          <w:color w:val="8B1A3A"/>
          <w:sz w:val="21"/>
        </w:rPr>
        <w:t>estoque.reservado</w:t>
      </w:r>
      <w:r>
        <w:rPr>
          <w:b w:val="0"/>
          <w:i w:val="0"/>
          <w:sz w:val="22"/>
        </w:rPr>
        <w:t xml:space="preserve"> → </w:t>
      </w:r>
      <w:r>
        <w:rPr>
          <w:rFonts w:ascii="Consolas" w:hAnsi="Consolas"/>
          <w:b w:val="0"/>
          <w:i w:val="0"/>
          <w:color w:val="8B1A3A"/>
          <w:sz w:val="21"/>
        </w:rPr>
        <w:t>pagamento.aprovado</w:t>
      </w:r>
      <w:r>
        <w:rPr>
          <w:b w:val="0"/>
          <w:i w:val="0"/>
          <w:sz w:val="22"/>
        </w:rPr>
        <w:t xml:space="preserve"> ou </w:t>
      </w:r>
      <w:r>
        <w:rPr>
          <w:rFonts w:ascii="Consolas" w:hAnsi="Consolas"/>
          <w:b w:val="0"/>
          <w:i w:val="0"/>
          <w:color w:val="8B1A3A"/>
          <w:sz w:val="21"/>
        </w:rPr>
        <w:t>pagamento.recusado</w:t>
      </w:r>
      <w:r>
        <w:rPr>
          <w:b w:val="0"/>
          <w:i w:val="0"/>
          <w:sz w:val="22"/>
        </w:rPr>
        <w:t xml:space="preserve"> → confirmação ou cancelamento → </w:t>
      </w:r>
      <w:r>
        <w:rPr>
          <w:rFonts w:ascii="Consolas" w:hAnsi="Consolas"/>
          <w:b w:val="0"/>
          <w:i w:val="0"/>
          <w:color w:val="8B1A3A"/>
          <w:sz w:val="21"/>
        </w:rPr>
        <w:t>notificacao.enviar</w:t>
      </w:r>
      <w:r>
        <w:rPr>
          <w:b w:val="0"/>
          <w:i w:val="0"/>
          <w:sz w:val="22"/>
        </w:rPr>
        <w:t>.</w:t>
      </w:r>
    </w:p>
    <w:p>
      <w:r>
        <w:rPr>
          <w:b w:val="0"/>
          <w:i w:val="0"/>
          <w:sz w:val="22"/>
        </w:rPr>
        <w:t xml:space="preserve">O </w:t>
      </w:r>
      <w:r>
        <w:rPr>
          <w:b/>
          <w:i w:val="0"/>
          <w:sz w:val="22"/>
        </w:rPr>
        <w:t>fluxo IoT</w:t>
      </w:r>
      <w:r>
        <w:rPr>
          <w:b w:val="0"/>
          <w:i w:val="0"/>
          <w:sz w:val="22"/>
        </w:rPr>
        <w:t xml:space="preserve"> aparece à esquerda, embaixo: sensor Arduino (</w:t>
      </w:r>
      <w:r>
        <w:rPr>
          <w:rFonts w:ascii="Consolas" w:hAnsi="Consolas"/>
          <w:b w:val="0"/>
          <w:i w:val="0"/>
          <w:color w:val="8B1A3A"/>
          <w:sz w:val="21"/>
        </w:rPr>
        <w:t>Arduino/VinheriaSensores/VinheriaSensores.ino</w:t>
      </w:r>
      <w:r>
        <w:rPr>
          <w:b w:val="0"/>
          <w:i w:val="0"/>
          <w:sz w:val="22"/>
        </w:rPr>
        <w:t>) → ponte serial (</w:t>
      </w:r>
      <w:r>
        <w:rPr>
          <w:rFonts w:ascii="Consolas" w:hAnsi="Consolas"/>
          <w:b w:val="0"/>
          <w:i w:val="0"/>
          <w:color w:val="8B1A3A"/>
          <w:sz w:val="21"/>
        </w:rPr>
        <w:t>MQTT/bridge_wokwi_nodered.py</w:t>
      </w:r>
      <w:r>
        <w:rPr>
          <w:b w:val="0"/>
          <w:i w:val="0"/>
          <w:sz w:val="22"/>
        </w:rPr>
        <w:t>) → Node-RED (</w:t>
      </w:r>
      <w:r>
        <w:rPr>
          <w:rFonts w:ascii="Consolas" w:hAnsi="Consolas"/>
          <w:b w:val="0"/>
          <w:i w:val="0"/>
          <w:color w:val="8B1A3A"/>
          <w:sz w:val="21"/>
        </w:rPr>
        <w:t>MQTT/node_red_vinheria_flow.json</w:t>
      </w:r>
      <w:r>
        <w:rPr>
          <w:b w:val="0"/>
          <w:i w:val="0"/>
          <w:sz w:val="22"/>
        </w:rPr>
        <w:t xml:space="preserve">) → broker MQTT (TLS, usuário por adega, ADR-003 — </w:t>
      </w:r>
      <w:r>
        <w:rPr>
          <w:rFonts w:ascii="Consolas" w:hAnsi="Consolas"/>
          <w:b w:val="0"/>
          <w:i w:val="0"/>
          <w:color w:val="8B1A3A"/>
          <w:sz w:val="21"/>
        </w:rPr>
        <w:t>Documentacao/Fase6/adr/ADR-003-mqtt-identidade-por-dispositivo.md</w:t>
      </w:r>
      <w:r>
        <w:rPr>
          <w:b w:val="0"/>
          <w:i w:val="0"/>
          <w:sz w:val="22"/>
        </w:rPr>
        <w:t xml:space="preserve">) → </w:t>
      </w:r>
      <w:r>
        <w:rPr>
          <w:b w:val="0"/>
          <w:i/>
          <w:sz w:val="22"/>
        </w:rPr>
        <w:t>bridge</w:t>
      </w:r>
      <w:r>
        <w:rPr>
          <w:b w:val="0"/>
          <w:i w:val="0"/>
          <w:sz w:val="22"/>
        </w:rPr>
        <w:t xml:space="preserve"> MQTT → Kafka, que publica </w:t>
      </w:r>
      <w:r>
        <w:rPr>
          <w:rFonts w:ascii="Consolas" w:hAnsi="Consolas"/>
          <w:b w:val="0"/>
          <w:i w:val="0"/>
          <w:color w:val="8B1A3A"/>
          <w:sz w:val="21"/>
        </w:rPr>
        <w:t>qualidade.leitura</w:t>
      </w:r>
      <w:r>
        <w:rPr>
          <w:b w:val="0"/>
          <w:i w:val="0"/>
          <w:sz w:val="22"/>
        </w:rPr>
        <w:t xml:space="preserve">. O </w:t>
      </w:r>
      <w:r>
        <w:rPr>
          <w:rFonts w:ascii="Consolas" w:hAnsi="Consolas"/>
          <w:b w:val="0"/>
          <w:i w:val="0"/>
          <w:color w:val="8B1A3A"/>
          <w:sz w:val="21"/>
        </w:rPr>
        <w:t>ms-qualidade</w:t>
      </w:r>
      <w:r>
        <w:rPr>
          <w:b w:val="0"/>
          <w:i w:val="0"/>
          <w:sz w:val="22"/>
        </w:rPr>
        <w:t xml:space="preserve"> consome a leitura e publica </w:t>
      </w:r>
      <w:r>
        <w:rPr>
          <w:rFonts w:ascii="Consolas" w:hAnsi="Consolas"/>
          <w:b w:val="0"/>
          <w:i w:val="0"/>
          <w:color w:val="8B1A3A"/>
          <w:sz w:val="21"/>
        </w:rPr>
        <w:t>qualidade.alerta</w:t>
      </w:r>
      <w:r>
        <w:rPr>
          <w:b w:val="0"/>
          <w:i w:val="0"/>
          <w:sz w:val="22"/>
        </w:rPr>
        <w:t xml:space="preserve"> e </w:t>
      </w:r>
      <w:r>
        <w:rPr>
          <w:rFonts w:ascii="Consolas" w:hAnsi="Consolas"/>
          <w:b w:val="0"/>
          <w:i w:val="0"/>
          <w:color w:val="8B1A3A"/>
          <w:sz w:val="21"/>
        </w:rPr>
        <w:t>notificacao.enviar</w:t>
      </w:r>
      <w:r>
        <w:rPr>
          <w:b w:val="0"/>
          <w:i w:val="0"/>
          <w:sz w:val="22"/>
        </w:rPr>
        <w:t>.</w:t>
      </w:r>
    </w:p>
    <w:p>
      <w:r>
        <w:rPr>
          <w:b w:val="0"/>
          <w:i w:val="0"/>
          <w:sz w:val="22"/>
        </w:rPr>
        <w:t xml:space="preserve">A </w:t>
      </w:r>
      <w:r>
        <w:rPr>
          <w:b/>
          <w:i w:val="0"/>
          <w:sz w:val="22"/>
        </w:rPr>
        <w:t>área de migração</w:t>
      </w:r>
      <w:r>
        <w:rPr>
          <w:b w:val="0"/>
          <w:i w:val="0"/>
          <w:sz w:val="22"/>
        </w:rPr>
        <w:t xml:space="preserve"> mostra o </w:t>
      </w:r>
      <w:r>
        <w:rPr>
          <w:b w:val="0"/>
          <w:i/>
          <w:sz w:val="22"/>
        </w:rPr>
        <w:t>Strangler Fig</w:t>
      </w:r>
      <w:r>
        <w:rPr>
          <w:b w:val="0"/>
          <w:i w:val="0"/>
          <w:sz w:val="22"/>
        </w:rPr>
        <w:t>: o monolito atual — o web Servlet/JSP (</w:t>
      </w:r>
      <w:r>
        <w:rPr>
          <w:rFonts w:ascii="Consolas" w:hAnsi="Consolas"/>
          <w:b w:val="0"/>
          <w:i w:val="0"/>
          <w:color w:val="8B1A3A"/>
          <w:sz w:val="21"/>
        </w:rPr>
        <w:t>Web/src/main/java/br/com/fiap/vinheriaagnello/</w:t>
      </w:r>
      <w:r>
        <w:rPr>
          <w:b w:val="0"/>
          <w:i w:val="0"/>
          <w:sz w:val="22"/>
        </w:rPr>
        <w:t xml:space="preserve">, com </w:t>
      </w:r>
      <w:r>
        <w:rPr>
          <w:rFonts w:ascii="Consolas" w:hAnsi="Consolas"/>
          <w:b w:val="0"/>
          <w:i w:val="0"/>
          <w:color w:val="8B1A3A"/>
          <w:sz w:val="21"/>
        </w:rPr>
        <w:t>repository/InMemoryDatabase.java</w:t>
      </w:r>
      <w:r>
        <w:rPr>
          <w:b w:val="0"/>
          <w:i w:val="0"/>
          <w:sz w:val="22"/>
        </w:rPr>
        <w:t>) e a API .NET de estoque (</w:t>
      </w:r>
      <w:r>
        <w:rPr>
          <w:rFonts w:ascii="Consolas" w:hAnsi="Consolas"/>
          <w:b w:val="0"/>
          <w:i w:val="0"/>
          <w:color w:val="8B1A3A"/>
          <w:sz w:val="21"/>
        </w:rPr>
        <w:t>Web/src/VinheriaAgnello.Server/</w:t>
      </w:r>
      <w:r>
        <w:rPr>
          <w:b w:val="0"/>
          <w:i w:val="0"/>
          <w:sz w:val="22"/>
        </w:rPr>
        <w:t xml:space="preserve">, EF Core com um único banco SQLite configurado em </w:t>
      </w:r>
      <w:r>
        <w:rPr>
          <w:rFonts w:ascii="Consolas" w:hAnsi="Consolas"/>
          <w:b w:val="0"/>
          <w:i w:val="0"/>
          <w:color w:val="8B1A3A"/>
          <w:sz w:val="21"/>
        </w:rPr>
        <w:t>src/VinheriaAgnello.API/appsettings.json</w:t>
      </w:r>
      <w:r>
        <w:rPr>
          <w:b w:val="0"/>
          <w:i w:val="0"/>
          <w:sz w:val="22"/>
        </w:rPr>
        <w:t xml:space="preserve"> e mapeado em </w:t>
      </w:r>
      <w:r>
        <w:rPr>
          <w:rFonts w:ascii="Consolas" w:hAnsi="Consolas"/>
          <w:b w:val="0"/>
          <w:i w:val="0"/>
          <w:color w:val="8B1A3A"/>
          <w:sz w:val="21"/>
        </w:rPr>
        <w:t>src/VinheriaAgnello.Infrastructure/Data/AppDbContext.cs</w:t>
      </w:r>
      <w:r>
        <w:rPr>
          <w:b w:val="0"/>
          <w:i w:val="0"/>
          <w:sz w:val="22"/>
        </w:rPr>
        <w:t xml:space="preserve">) — fica atrás do gateway, que continua mandando para ele as rotas ainda não extraídas. O primeiro domínio extraído é o estoque, porque a API .NET já é o embrião do </w:t>
      </w:r>
      <w:r>
        <w:rPr>
          <w:rFonts w:ascii="Consolas" w:hAnsi="Consolas"/>
          <w:b w:val="0"/>
          <w:i w:val="0"/>
          <w:color w:val="8B1A3A"/>
          <w:sz w:val="21"/>
        </w:rPr>
        <w:t>ms-estoque</w:t>
      </w:r>
      <w:r>
        <w:rPr>
          <w:b w:val="0"/>
          <w:i w:val="0"/>
          <w:sz w:val="22"/>
        </w:rPr>
        <w:t xml:space="preserve"> (seção 1.4). Catálogo e clientes vêm em seguida.</w:t>
      </w:r>
    </w:p>
    <w:p>
      <w:pPr>
        <w:pStyle w:val="Heading2"/>
      </w:pPr>
      <w:r>
        <w:rPr>
          <w:b w:val="0"/>
          <w:i w:val="0"/>
          <w:sz w:val="22"/>
        </w:rPr>
        <w:t>2.2 Legenda</w:t>
      </w:r>
    </w:p>
    <w:p>
      <w:pPr>
        <w:keepNext/>
        <w:spacing w:after="60" w:before="0"/>
        <w:jc w:val="left"/>
      </w:pPr>
      <w:r>
        <w:rPr>
          <w:b w:val="0"/>
          <w:i/>
          <w:color w:val="595959"/>
          <w:sz w:val="19"/>
        </w:rPr>
        <w:t>Tabela 7 — Legenda dos traços e dos tipos de comunicação do diagrama</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2551"/>
            <w:shd w:val="clear" w:fill="F4E7EB"/>
          </w:tcPr>
          <w:p>
            <w:pPr>
              <w:spacing w:after="0"/>
              <w:jc w:val="left"/>
            </w:pPr>
            <w:r>
              <w:rPr>
                <w:b/>
              </w:rPr>
            </w:r>
            <w:r>
              <w:rPr>
                <w:b/>
                <w:i w:val="0"/>
                <w:sz w:val="19"/>
              </w:rPr>
              <w:t>Traço</w:t>
            </w:r>
          </w:p>
        </w:tc>
        <w:tc>
          <w:tcPr>
            <w:tcW w:type="dxa" w:w="7087"/>
            <w:shd w:val="clear" w:fill="F4E7EB"/>
          </w:tcPr>
          <w:p>
            <w:pPr>
              <w:spacing w:after="0"/>
              <w:jc w:val="left"/>
            </w:pPr>
            <w:r>
              <w:rPr>
                <w:b/>
              </w:rPr>
            </w:r>
            <w:r>
              <w:rPr>
                <w:b/>
                <w:i w:val="0"/>
                <w:sz w:val="19"/>
              </w:rPr>
              <w:t>Significado</w:t>
            </w:r>
          </w:p>
        </w:tc>
      </w:tr>
      <w:tr>
        <w:tc>
          <w:tcPr>
            <w:tcW w:type="dxa" w:w="2551"/>
          </w:tcPr>
          <w:p>
            <w:pPr>
              <w:spacing w:after="0" w:line="240" w:lineRule="auto"/>
              <w:jc w:val="left"/>
            </w:pPr>
            <w:r/>
            <w:r>
              <w:rPr>
                <w:b w:val="0"/>
                <w:i w:val="0"/>
                <w:sz w:val="19"/>
              </w:rPr>
              <w:t>Linha contínua grossa, azul</w:t>
            </w:r>
          </w:p>
        </w:tc>
        <w:tc>
          <w:tcPr>
            <w:tcW w:type="dxa" w:w="7087"/>
          </w:tcPr>
          <w:p>
            <w:pPr>
              <w:spacing w:after="0" w:line="240" w:lineRule="auto"/>
              <w:jc w:val="left"/>
            </w:pPr>
            <w:r/>
            <w:r>
              <w:rPr>
                <w:b w:val="0"/>
                <w:i w:val="0"/>
                <w:sz w:val="19"/>
              </w:rPr>
              <w:t>Síncrono — REST/HTTPS (dentro da malha com mTLS)</w:t>
            </w:r>
          </w:p>
        </w:tc>
      </w:tr>
      <w:tr>
        <w:tc>
          <w:tcPr>
            <w:tcW w:type="dxa" w:w="2551"/>
          </w:tcPr>
          <w:p>
            <w:pPr>
              <w:spacing w:after="0" w:line="240" w:lineRule="auto"/>
              <w:jc w:val="left"/>
            </w:pPr>
            <w:r/>
            <w:r>
              <w:rPr>
                <w:b w:val="0"/>
                <w:i w:val="0"/>
                <w:sz w:val="19"/>
              </w:rPr>
              <w:t>Linha tracejada longa, vermelho-tijolo</w:t>
            </w:r>
          </w:p>
        </w:tc>
        <w:tc>
          <w:tcPr>
            <w:tcW w:type="dxa" w:w="7087"/>
          </w:tcPr>
          <w:p>
            <w:pPr>
              <w:spacing w:after="0" w:line="240" w:lineRule="auto"/>
              <w:jc w:val="left"/>
            </w:pPr>
            <w:r/>
            <w:r>
              <w:rPr>
                <w:b w:val="0"/>
                <w:i w:val="0"/>
                <w:sz w:val="19"/>
              </w:rPr>
              <w:t>Assíncrono — evento publicado/consumido no Kafka</w:t>
            </w:r>
          </w:p>
        </w:tc>
      </w:tr>
      <w:tr>
        <w:tc>
          <w:tcPr>
            <w:tcW w:type="dxa" w:w="2551"/>
          </w:tcPr>
          <w:p>
            <w:pPr>
              <w:spacing w:after="0" w:line="240" w:lineRule="auto"/>
              <w:jc w:val="left"/>
            </w:pPr>
            <w:r/>
            <w:r>
              <w:rPr>
                <w:b w:val="0"/>
                <w:i w:val="0"/>
                <w:sz w:val="19"/>
              </w:rPr>
              <w:t>Linha pontilhada, verde</w:t>
            </w:r>
          </w:p>
        </w:tc>
        <w:tc>
          <w:tcPr>
            <w:tcW w:type="dxa" w:w="7087"/>
          </w:tcPr>
          <w:p>
            <w:pPr>
              <w:spacing w:after="0" w:line="240" w:lineRule="auto"/>
              <w:jc w:val="left"/>
            </w:pPr>
            <w:r/>
            <w:r>
              <w:rPr>
                <w:b w:val="0"/>
                <w:i w:val="0"/>
                <w:sz w:val="19"/>
              </w:rPr>
              <w:t>Telemetria IoT — serial e MQTT sobre TLS</w:t>
            </w:r>
          </w:p>
        </w:tc>
      </w:tr>
      <w:tr>
        <w:tc>
          <w:tcPr>
            <w:tcW w:type="dxa" w:w="2551"/>
          </w:tcPr>
          <w:p>
            <w:pPr>
              <w:spacing w:after="0" w:line="240" w:lineRule="auto"/>
              <w:jc w:val="left"/>
            </w:pPr>
            <w:r/>
            <w:r>
              <w:rPr>
                <w:b w:val="0"/>
                <w:i w:val="0"/>
                <w:sz w:val="19"/>
              </w:rPr>
              <w:t>Traço-ponto, cinza, seta aberta</w:t>
            </w:r>
          </w:p>
        </w:tc>
        <w:tc>
          <w:tcPr>
            <w:tcW w:type="dxa" w:w="7087"/>
          </w:tcPr>
          <w:p>
            <w:pPr>
              <w:spacing w:after="0" w:line="240" w:lineRule="auto"/>
              <w:jc w:val="left"/>
            </w:pPr>
            <w:r/>
            <w:r>
              <w:rPr>
                <w:b w:val="0"/>
                <w:i w:val="0"/>
                <w:sz w:val="19"/>
              </w:rPr>
              <w:t>Migração Strangler Fig (monolito → serviço)</w:t>
            </w:r>
          </w:p>
        </w:tc>
      </w:tr>
      <w:tr>
        <w:tc>
          <w:tcPr>
            <w:tcW w:type="dxa" w:w="2551"/>
          </w:tcPr>
          <w:p>
            <w:pPr>
              <w:spacing w:after="0" w:line="240" w:lineRule="auto"/>
              <w:jc w:val="left"/>
            </w:pPr>
            <w:r/>
            <w:r>
              <w:rPr>
                <w:b w:val="0"/>
                <w:i w:val="0"/>
                <w:sz w:val="19"/>
              </w:rPr>
              <w:t>Linha fina sem seta</w:t>
            </w:r>
          </w:p>
        </w:tc>
        <w:tc>
          <w:tcPr>
            <w:tcW w:type="dxa" w:w="7087"/>
          </w:tcPr>
          <w:p>
            <w:pPr>
              <w:spacing w:after="0" w:line="240" w:lineRule="auto"/>
              <w:jc w:val="left"/>
            </w:pPr>
            <w:r/>
            <w:r>
              <w:rPr>
                <w:b w:val="0"/>
                <w:i w:val="0"/>
                <w:sz w:val="19"/>
              </w:rPr>
              <w:t>Serviço ↔ banco próprio (acesso exclusivo)</w:t>
            </w:r>
          </w:p>
        </w:tc>
      </w:tr>
    </w:tbl>
    <w:p>
      <w:r>
        <w:rPr>
          <w:b w:val="0"/>
          <w:i w:val="0"/>
          <w:sz w:val="22"/>
        </w:rPr>
        <w:t xml:space="preserve">Os tipos de comunicação se distinguem pelo </w:t>
      </w:r>
      <w:r>
        <w:rPr>
          <w:b/>
          <w:i w:val="0"/>
          <w:sz w:val="22"/>
        </w:rPr>
        <w:t>padrão do traço</w:t>
      </w:r>
      <w:r>
        <w:rPr>
          <w:b w:val="0"/>
          <w:i w:val="0"/>
          <w:sz w:val="22"/>
        </w:rPr>
        <w:t>, não só pela cor, então a figura continua legível em impressão preto e branco.</w:t>
      </w:r>
    </w:p>
    <w:p>
      <w:pPr>
        <w:pStyle w:val="Heading2"/>
      </w:pPr>
      <w:r>
        <w:rPr>
          <w:b w:val="0"/>
          <w:i w:val="0"/>
          <w:sz w:val="22"/>
        </w:rPr>
        <w:t>2.3 Conferência dos critérios de aceite</w:t>
      </w:r>
    </w:p>
    <w:p>
      <w:pPr>
        <w:keepNext/>
        <w:spacing w:after="60" w:before="0"/>
        <w:jc w:val="left"/>
      </w:pPr>
      <w:r>
        <w:rPr>
          <w:b w:val="0"/>
          <w:i/>
          <w:color w:val="595959"/>
          <w:sz w:val="19"/>
        </w:rPr>
        <w:t>Tabela 8 — Conferência dos critérios do item 2</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5102"/>
            <w:shd w:val="clear" w:fill="F4E7EB"/>
          </w:tcPr>
          <w:p>
            <w:pPr>
              <w:spacing w:after="0"/>
              <w:jc w:val="left"/>
            </w:pPr>
            <w:r>
              <w:rPr>
                <w:b/>
              </w:rPr>
            </w:r>
            <w:r>
              <w:rPr>
                <w:b/>
                <w:i w:val="0"/>
                <w:sz w:val="19"/>
              </w:rPr>
              <w:t>Critério</w:t>
            </w:r>
          </w:p>
        </w:tc>
        <w:tc>
          <w:tcPr>
            <w:tcW w:type="dxa" w:w="4535"/>
            <w:shd w:val="clear" w:fill="F4E7EB"/>
          </w:tcPr>
          <w:p>
            <w:pPr>
              <w:spacing w:after="0"/>
              <w:jc w:val="left"/>
            </w:pPr>
            <w:r>
              <w:rPr>
                <w:b/>
              </w:rPr>
            </w:r>
            <w:r>
              <w:rPr>
                <w:b/>
                <w:i w:val="0"/>
                <w:sz w:val="19"/>
              </w:rPr>
              <w:t>Situação</w:t>
            </w:r>
          </w:p>
        </w:tc>
      </w:tr>
      <w:tr>
        <w:tc>
          <w:tcPr>
            <w:tcW w:type="dxa" w:w="5102"/>
          </w:tcPr>
          <w:p>
            <w:pPr>
              <w:spacing w:after="0" w:line="240" w:lineRule="auto"/>
              <w:jc w:val="left"/>
            </w:pPr>
            <w:r/>
            <w:r>
              <w:rPr>
                <w:b w:val="0"/>
                <w:i w:val="0"/>
                <w:sz w:val="19"/>
              </w:rPr>
              <w:t>Todo microsserviço da seção 1 aparece; nenhum serviço inventado</w:t>
            </w:r>
          </w:p>
        </w:tc>
        <w:tc>
          <w:tcPr>
            <w:tcW w:type="dxa" w:w="4535"/>
          </w:tcPr>
          <w:p>
            <w:pPr>
              <w:spacing w:after="0" w:line="240" w:lineRule="auto"/>
              <w:jc w:val="left"/>
            </w:pPr>
            <w:r/>
            <w:r>
              <w:rPr>
                <w:b w:val="0"/>
                <w:i w:val="0"/>
                <w:sz w:val="19"/>
              </w:rPr>
              <w:t xml:space="preserve">12 de 12, com os nomes do glossário. Redis, registry, mesh, observabilidade, Vault e a </w:t>
            </w:r>
            <w:r>
              <w:rPr>
                <w:b w:val="0"/>
                <w:i/>
                <w:sz w:val="19"/>
              </w:rPr>
              <w:t>bridge</w:t>
            </w:r>
            <w:r>
              <w:rPr>
                <w:b w:val="0"/>
                <w:i w:val="0"/>
                <w:sz w:val="19"/>
              </w:rPr>
              <w:t xml:space="preserve"> MQTT → Kafka são infraestrutura, não serviços de domínio (mesmo critério da seção 1.3, para o Node-RED)</w:t>
            </w:r>
          </w:p>
        </w:tc>
      </w:tr>
      <w:tr>
        <w:tc>
          <w:tcPr>
            <w:tcW w:type="dxa" w:w="5102"/>
          </w:tcPr>
          <w:p>
            <w:pPr>
              <w:spacing w:after="0" w:line="240" w:lineRule="auto"/>
              <w:jc w:val="left"/>
            </w:pPr>
            <w:r/>
            <w:r>
              <w:rPr>
                <w:b w:val="0"/>
                <w:i w:val="0"/>
                <w:sz w:val="19"/>
              </w:rPr>
              <w:t>Síncrono × assíncrono distinguíveis pela legenda</w:t>
            </w:r>
          </w:p>
        </w:tc>
        <w:tc>
          <w:tcPr>
            <w:tcW w:type="dxa" w:w="4535"/>
          </w:tcPr>
          <w:p>
            <w:pPr>
              <w:spacing w:after="0" w:line="240" w:lineRule="auto"/>
              <w:jc w:val="left"/>
            </w:pPr>
            <w:r/>
            <w:r>
              <w:rPr>
                <w:b w:val="0"/>
                <w:i w:val="0"/>
                <w:sz w:val="19"/>
              </w:rPr>
              <w:t>Sim: traço contínuo × tracejado, além da cor — legenda repetida em cada uma das 4 páginas</w:t>
            </w:r>
          </w:p>
        </w:tc>
      </w:tr>
      <w:tr>
        <w:tc>
          <w:tcPr>
            <w:tcW w:type="dxa" w:w="5102"/>
          </w:tcPr>
          <w:p>
            <w:pPr>
              <w:spacing w:after="0" w:line="240" w:lineRule="auto"/>
              <w:jc w:val="left"/>
            </w:pPr>
            <w:r/>
            <w:r>
              <w:rPr>
                <w:b w:val="0"/>
                <w:i w:val="0"/>
                <w:sz w:val="19"/>
              </w:rPr>
              <w:t>Nenhum acesso direto ao banco de outro serviço; cliente só via gateway</w:t>
            </w:r>
          </w:p>
        </w:tc>
        <w:tc>
          <w:tcPr>
            <w:tcW w:type="dxa" w:w="4535"/>
          </w:tcPr>
          <w:p>
            <w:pPr>
              <w:spacing w:after="0" w:line="240" w:lineRule="auto"/>
              <w:jc w:val="left"/>
            </w:pPr>
            <w:r/>
            <w:r>
              <w:rPr>
                <w:b w:val="0"/>
                <w:i w:val="0"/>
                <w:sz w:val="19"/>
              </w:rPr>
              <w:t>Sim: cada banco liga a um único serviço; os três clientes apontam apenas para o gateway</w:t>
            </w:r>
          </w:p>
        </w:tc>
      </w:tr>
      <w:tr>
        <w:tc>
          <w:tcPr>
            <w:tcW w:type="dxa" w:w="5102"/>
          </w:tcPr>
          <w:p>
            <w:pPr>
              <w:spacing w:after="0" w:line="240" w:lineRule="auto"/>
              <w:jc w:val="left"/>
            </w:pPr>
            <w:r/>
            <w:r>
              <w:rPr>
                <w:b w:val="0"/>
                <w:i w:val="0"/>
                <w:sz w:val="19"/>
              </w:rPr>
              <w:t>Nomes dos tópicos iguais aos do texto</w:t>
            </w:r>
          </w:p>
        </w:tc>
        <w:tc>
          <w:tcPr>
            <w:tcW w:type="dxa" w:w="4535"/>
          </w:tcPr>
          <w:p>
            <w:pPr>
              <w:spacing w:after="0" w:line="240" w:lineRule="auto"/>
              <w:jc w:val="left"/>
            </w:pPr>
            <w:r/>
            <w:r>
              <w:rPr>
                <w:b w:val="0"/>
                <w:i w:val="0"/>
                <w:sz w:val="19"/>
              </w:rPr>
              <w:t>Os 9 tópicos da seção 5 (</w:t>
            </w:r>
            <w:r>
              <w:rPr>
                <w:rFonts w:ascii="Consolas" w:hAnsi="Consolas"/>
                <w:b w:val="0"/>
                <w:i w:val="0"/>
                <w:color w:val="8B1A3A"/>
                <w:sz w:val="18"/>
              </w:rPr>
              <w:t>pedido.criado</w:t>
            </w:r>
            <w:r>
              <w:rPr>
                <w:b w:val="0"/>
                <w:i w:val="0"/>
                <w:sz w:val="19"/>
              </w:rPr>
              <w:t xml:space="preserve">, </w:t>
            </w:r>
            <w:r>
              <w:rPr>
                <w:rFonts w:ascii="Consolas" w:hAnsi="Consolas"/>
                <w:b w:val="0"/>
                <w:i w:val="0"/>
                <w:color w:val="8B1A3A"/>
                <w:sz w:val="18"/>
              </w:rPr>
              <w:t>estoque.reservado</w:t>
            </w:r>
            <w:r>
              <w:rPr>
                <w:b w:val="0"/>
                <w:i w:val="0"/>
                <w:sz w:val="19"/>
              </w:rPr>
              <w:t xml:space="preserve">, </w:t>
            </w:r>
            <w:r>
              <w:rPr>
                <w:rFonts w:ascii="Consolas" w:hAnsi="Consolas"/>
                <w:b w:val="0"/>
                <w:i w:val="0"/>
                <w:color w:val="8B1A3A"/>
                <w:sz w:val="18"/>
              </w:rPr>
              <w:t>pagamento.aprovado</w:t>
            </w:r>
            <w:r>
              <w:rPr>
                <w:b w:val="0"/>
                <w:i w:val="0"/>
                <w:sz w:val="19"/>
              </w:rPr>
              <w:t xml:space="preserve">, </w:t>
            </w:r>
            <w:r>
              <w:rPr>
                <w:rFonts w:ascii="Consolas" w:hAnsi="Consolas"/>
                <w:b w:val="0"/>
                <w:i w:val="0"/>
                <w:color w:val="8B1A3A"/>
                <w:sz w:val="18"/>
              </w:rPr>
              <w:t>pagamento.recusado</w:t>
            </w:r>
            <w:r>
              <w:rPr>
                <w:b w:val="0"/>
                <w:i w:val="0"/>
                <w:sz w:val="19"/>
              </w:rPr>
              <w:t xml:space="preserve">, </w:t>
            </w:r>
            <w:r>
              <w:rPr>
                <w:rFonts w:ascii="Consolas" w:hAnsi="Consolas"/>
                <w:b w:val="0"/>
                <w:i w:val="0"/>
                <w:color w:val="8B1A3A"/>
                <w:sz w:val="18"/>
              </w:rPr>
              <w:t>lote.criado</w:t>
            </w:r>
            <w:r>
              <w:rPr>
                <w:b w:val="0"/>
                <w:i w:val="0"/>
                <w:sz w:val="19"/>
              </w:rPr>
              <w:t xml:space="preserve">, </w:t>
            </w:r>
            <w:r>
              <w:rPr>
                <w:rFonts w:ascii="Consolas" w:hAnsi="Consolas"/>
                <w:b w:val="0"/>
                <w:i w:val="0"/>
                <w:color w:val="8B1A3A"/>
                <w:sz w:val="18"/>
              </w:rPr>
              <w:t>qualidade.leitura</w:t>
            </w:r>
            <w:r>
              <w:rPr>
                <w:b w:val="0"/>
                <w:i w:val="0"/>
                <w:sz w:val="19"/>
              </w:rPr>
              <w:t xml:space="preserve">, </w:t>
            </w:r>
            <w:r>
              <w:rPr>
                <w:rFonts w:ascii="Consolas" w:hAnsi="Consolas"/>
                <w:b w:val="0"/>
                <w:i w:val="0"/>
                <w:color w:val="8B1A3A"/>
                <w:sz w:val="18"/>
              </w:rPr>
              <w:t>qualidade.alerta</w:t>
            </w:r>
            <w:r>
              <w:rPr>
                <w:b w:val="0"/>
                <w:i w:val="0"/>
                <w:sz w:val="19"/>
              </w:rPr>
              <w:t xml:space="preserve">, </w:t>
            </w:r>
            <w:r>
              <w:rPr>
                <w:rFonts w:ascii="Consolas" w:hAnsi="Consolas"/>
                <w:b w:val="0"/>
                <w:i w:val="0"/>
                <w:color w:val="8B1A3A"/>
                <w:sz w:val="18"/>
              </w:rPr>
              <w:t>notificacao.enviar</w:t>
            </w:r>
            <w:r>
              <w:rPr>
                <w:b w:val="0"/>
                <w:i w:val="0"/>
                <w:sz w:val="19"/>
              </w:rPr>
              <w:t xml:space="preserve">, </w:t>
            </w:r>
            <w:r>
              <w:rPr>
                <w:rFonts w:ascii="Consolas" w:hAnsi="Consolas"/>
                <w:b w:val="0"/>
                <w:i w:val="0"/>
                <w:color w:val="8B1A3A"/>
                <w:sz w:val="18"/>
              </w:rPr>
              <w:t>cliente.anonimizado</w:t>
            </w:r>
            <w:r>
              <w:rPr>
                <w:b w:val="0"/>
                <w:i w:val="0"/>
                <w:sz w:val="19"/>
              </w:rPr>
              <w:t xml:space="preserve">) + </w:t>
            </w:r>
            <w:r>
              <w:rPr>
                <w:rFonts w:ascii="Consolas" w:hAnsi="Consolas"/>
                <w:b w:val="0"/>
                <w:i w:val="0"/>
                <w:color w:val="8B1A3A"/>
                <w:sz w:val="18"/>
              </w:rPr>
              <w:t>recebimento.confirmado</w:t>
            </w:r>
          </w:p>
        </w:tc>
      </w:tr>
      <w:tr>
        <w:tc>
          <w:tcPr>
            <w:tcW w:type="dxa" w:w="5102"/>
          </w:tcPr>
          <w:p>
            <w:pPr>
              <w:spacing w:after="0" w:line="240" w:lineRule="auto"/>
              <w:jc w:val="left"/>
            </w:pPr>
            <w:r/>
            <w:r>
              <w:rPr>
                <w:b w:val="0"/>
                <w:i w:val="0"/>
                <w:sz w:val="19"/>
              </w:rPr>
              <w:t xml:space="preserve">Arquivos entregues (.drawio + .png </w:t>
            </w:r>
            <w:r>
              <w:rPr>
                <w:b/>
                <w:i w:val="0"/>
                <w:sz w:val="19"/>
              </w:rPr>
              <w:t>e</w:t>
            </w:r>
            <w:r>
              <w:rPr>
                <w:b w:val="0"/>
                <w:i w:val="0"/>
                <w:sz w:val="19"/>
              </w:rPr>
              <w:t xml:space="preserve"> .svg)</w:t>
            </w:r>
          </w:p>
        </w:tc>
        <w:tc>
          <w:tcPr>
            <w:tcW w:type="dxa" w:w="4535"/>
          </w:tcPr>
          <w:p>
            <w:pPr>
              <w:spacing w:after="0" w:line="240" w:lineRule="auto"/>
              <w:jc w:val="left"/>
            </w:pPr>
            <w:r/>
            <w:r>
              <w:rPr>
                <w:b w:val="0"/>
                <w:i w:val="0"/>
                <w:sz w:val="19"/>
              </w:rPr>
              <w:t xml:space="preserve">Sim: um </w:t>
            </w:r>
            <w:r>
              <w:rPr>
                <w:rFonts w:ascii="Consolas" w:hAnsi="Consolas"/>
                <w:b w:val="0"/>
                <w:i w:val="0"/>
                <w:color w:val="8B1A3A"/>
                <w:sz w:val="18"/>
              </w:rPr>
              <w:t>.drawio</w:t>
            </w:r>
            <w:r>
              <w:rPr>
                <w:b w:val="0"/>
                <w:i w:val="0"/>
                <w:sz w:val="19"/>
              </w:rPr>
              <w:t xml:space="preserve"> com 4 páginas e 4 conjuntos </w:t>
            </w:r>
            <w:r>
              <w:rPr>
                <w:rFonts w:ascii="Consolas" w:hAnsi="Consolas"/>
                <w:b w:val="0"/>
                <w:i w:val="0"/>
                <w:color w:val="8B1A3A"/>
                <w:sz w:val="18"/>
              </w:rPr>
              <w:t>.png</w:t>
            </w:r>
            <w:r>
              <w:rPr>
                <w:b w:val="0"/>
                <w:i w:val="0"/>
                <w:sz w:val="19"/>
              </w:rPr>
              <w:t>/</w:t>
            </w:r>
            <w:r>
              <w:rPr>
                <w:rFonts w:ascii="Consolas" w:hAnsi="Consolas"/>
                <w:b w:val="0"/>
                <w:i w:val="0"/>
                <w:color w:val="8B1A3A"/>
                <w:sz w:val="18"/>
              </w:rPr>
              <w:t>.svg</w:t>
            </w:r>
            <w:r>
              <w:rPr>
                <w:b w:val="0"/>
                <w:i w:val="0"/>
                <w:sz w:val="19"/>
              </w:rPr>
              <w:t xml:space="preserve">. Os nomes seguem o </w:t>
            </w:r>
            <w:r>
              <w:rPr>
                <w:rFonts w:ascii="Consolas" w:hAnsi="Consolas"/>
                <w:b w:val="0"/>
                <w:i w:val="0"/>
                <w:color w:val="8B1A3A"/>
                <w:sz w:val="18"/>
              </w:rPr>
              <w:t>README.md</w:t>
            </w:r>
            <w:r>
              <w:rPr>
                <w:b w:val="0"/>
                <w:i w:val="0"/>
                <w:sz w:val="19"/>
              </w:rPr>
              <w:t xml:space="preserve"> desta pasta (</w:t>
            </w:r>
            <w:r>
              <w:rPr>
                <w:rFonts w:ascii="Consolas" w:hAnsi="Consolas"/>
                <w:b w:val="0"/>
                <w:i w:val="0"/>
                <w:color w:val="8B1A3A"/>
                <w:sz w:val="18"/>
              </w:rPr>
              <w:t>P2_arquitetura.*</w:t>
            </w:r>
            <w:r>
              <w:rPr>
                <w:b w:val="0"/>
                <w:i w:val="0"/>
                <w:sz w:val="19"/>
              </w:rPr>
              <w:t xml:space="preserve">); o card da atividade citava </w:t>
            </w:r>
            <w:r>
              <w:rPr>
                <w:rFonts w:ascii="Consolas" w:hAnsi="Consolas"/>
                <w:b w:val="0"/>
                <w:i w:val="0"/>
                <w:color w:val="8B1A3A"/>
                <w:sz w:val="18"/>
              </w:rPr>
              <w:t>fase6_arquitetura.*</w:t>
            </w:r>
            <w:r>
              <w:rPr>
                <w:b w:val="0"/>
                <w:i w:val="0"/>
                <w:sz w:val="19"/>
              </w:rPr>
              <w:t xml:space="preserve"> — ver Apêndice D</w:t>
            </w:r>
          </w:p>
        </w:tc>
      </w:tr>
      <w:tr>
        <w:tc>
          <w:tcPr>
            <w:tcW w:type="dxa" w:w="5102"/>
          </w:tcPr>
          <w:p>
            <w:pPr>
              <w:spacing w:after="0" w:line="240" w:lineRule="auto"/>
              <w:jc w:val="left"/>
            </w:pPr>
            <w:r/>
            <w:r>
              <w:rPr>
                <w:b w:val="0"/>
                <w:i w:val="0"/>
                <w:sz w:val="19"/>
              </w:rPr>
              <w:t>Legível impresso (fonte ≥ 12 no tamanho final)</w:t>
            </w:r>
          </w:p>
        </w:tc>
        <w:tc>
          <w:tcPr>
            <w:tcW w:type="dxa" w:w="4535"/>
          </w:tcPr>
          <w:p>
            <w:pPr>
              <w:spacing w:after="0" w:line="240" w:lineRule="auto"/>
              <w:jc w:val="left"/>
            </w:pPr>
            <w:r/>
            <w:r>
              <w:rPr>
                <w:b w:val="0"/>
                <w:i w:val="0"/>
                <w:sz w:val="19"/>
              </w:rPr>
              <w:t xml:space="preserve">Atendido pelas </w:t>
            </w:r>
            <w:r>
              <w:rPr>
                <w:b/>
                <w:i w:val="0"/>
                <w:sz w:val="19"/>
              </w:rPr>
              <w:t>figuras de detalhe</w:t>
            </w:r>
            <w:r>
              <w:rPr>
                <w:b w:val="0"/>
                <w:i w:val="0"/>
                <w:sz w:val="19"/>
              </w:rPr>
              <w:t>: 12,2 a 12,7 pt em A4 paisagem com margens de 2 cm. A visão geral não atende sozinha — nela a menor fonte imprime a ~3,7 pt e os nomes dos serviços a ~4,5 pt — e serve para leitura em tela/zoom, como o SVG permite. Medições na seção 2.4</w:t>
            </w:r>
          </w:p>
        </w:tc>
      </w:tr>
    </w:tbl>
    <w:p>
      <w:pPr>
        <w:pStyle w:val="Heading2"/>
      </w:pPr>
      <w:r>
        <w:rPr>
          <w:b w:val="0"/>
          <w:i w:val="0"/>
          <w:sz w:val="22"/>
        </w:rPr>
        <w:t>2.4 Figuras de detalhe e tamanho de impressão</w:t>
      </w:r>
    </w:p>
    <w:p>
      <w:r>
        <w:rPr>
          <w:b w:val="0"/>
          <w:i w:val="0"/>
          <w:sz w:val="22"/>
        </w:rPr>
        <w:t xml:space="preserve">A figura única tem 1976 × 1543 unidades de desenho e cobre o sistema inteiro: nesse tamanho, para imprimir tudo numa A4 paisagem (25,7 cm × 17 cm úteis) o desenho é reduzido a ~43%, e nem a maior fonte da figura chega a 12 pt. Para cumprir o critério </w:t>
      </w:r>
      <w:r>
        <w:rPr>
          <w:b/>
          <w:i w:val="0"/>
          <w:sz w:val="22"/>
        </w:rPr>
        <w:t>sem</w:t>
      </w:r>
      <w:r>
        <w:rPr>
          <w:b w:val="0"/>
          <w:i w:val="0"/>
          <w:sz w:val="22"/>
        </w:rPr>
        <w:t xml:space="preserve"> encolher o desenho nem perder informação, o </w:t>
      </w:r>
      <w:r>
        <w:rPr>
          <w:rFonts w:ascii="Consolas" w:hAnsi="Consolas"/>
          <w:b w:val="0"/>
          <w:i w:val="0"/>
          <w:color w:val="8B1A3A"/>
          <w:sz w:val="21"/>
        </w:rPr>
        <w:t>.drawio</w:t>
      </w:r>
      <w:r>
        <w:rPr>
          <w:b w:val="0"/>
          <w:i w:val="0"/>
          <w:sz w:val="22"/>
        </w:rPr>
        <w:t xml:space="preserve"> passou a ter quatro páginas, e as três de detalhe foram desenhadas com fonte mínima de 24 px num canvas estreito (≈ 1400 px):</w:t>
      </w:r>
    </w:p>
    <w:p>
      <w:pPr>
        <w:keepNext/>
        <w:spacing w:after="60" w:before="0"/>
        <w:jc w:val="left"/>
      </w:pPr>
      <w:r>
        <w:rPr>
          <w:b w:val="0"/>
          <w:i/>
          <w:color w:val="595959"/>
          <w:sz w:val="19"/>
        </w:rPr>
        <w:t>Tabela 9 — Páginas do diagrama, tamanho de desenho e legibilidade de impressão</w:t>
      </w:r>
    </w:p>
    <w:tbl>
      <w:tblPr>
        <w:tblStyle w:val="TableGrid"/>
        <w:tblW w:type="auto" w:w="0"/>
        <w:jc w:val="center"/>
        <w:tblLayout w:type="fixed"/>
        <w:tblLook w:firstColumn="1" w:firstRow="1" w:lastColumn="0" w:lastRow="0" w:noHBand="0" w:noVBand="1" w:val="04A0"/>
      </w:tblPr>
      <w:tblGrid>
        <w:gridCol w:w="1871"/>
        <w:gridCol w:w="1871"/>
        <w:gridCol w:w="1871"/>
        <w:gridCol w:w="1871"/>
        <w:gridCol w:w="1871"/>
      </w:tblGrid>
      <w:tr>
        <w:trPr>
          <w:tblHeader w:val="true"/>
        </w:trPr>
        <w:tc>
          <w:tcPr>
            <w:tcW w:type="dxa" w:w="1020"/>
            <w:shd w:val="clear" w:fill="F4E7EB"/>
          </w:tcPr>
          <w:p>
            <w:pPr>
              <w:spacing w:after="0"/>
              <w:jc w:val="left"/>
            </w:pPr>
            <w:r>
              <w:rPr>
                <w:b/>
              </w:rPr>
            </w:r>
            <w:r>
              <w:rPr>
                <w:b/>
                <w:i w:val="0"/>
                <w:sz w:val="16"/>
              </w:rPr>
              <w:t>Página</w:t>
            </w:r>
          </w:p>
        </w:tc>
        <w:tc>
          <w:tcPr>
            <w:tcW w:type="dxa" w:w="2835"/>
            <w:shd w:val="clear" w:fill="F4E7EB"/>
          </w:tcPr>
          <w:p>
            <w:pPr>
              <w:spacing w:after="0"/>
              <w:jc w:val="left"/>
            </w:pPr>
            <w:r>
              <w:rPr>
                <w:b/>
              </w:rPr>
            </w:r>
            <w:r>
              <w:rPr>
                <w:b/>
                <w:i w:val="0"/>
                <w:sz w:val="16"/>
              </w:rPr>
              <w:t>Conteúdo</w:t>
            </w:r>
          </w:p>
        </w:tc>
        <w:tc>
          <w:tcPr>
            <w:tcW w:type="dxa" w:w="1474"/>
            <w:shd w:val="clear" w:fill="F4E7EB"/>
          </w:tcPr>
          <w:p>
            <w:pPr>
              <w:spacing w:after="0"/>
              <w:jc w:val="left"/>
            </w:pPr>
            <w:r>
              <w:rPr>
                <w:b/>
              </w:rPr>
            </w:r>
            <w:r>
              <w:rPr>
                <w:b/>
                <w:i w:val="0"/>
                <w:sz w:val="16"/>
              </w:rPr>
              <w:t>Desenho</w:t>
            </w:r>
          </w:p>
        </w:tc>
        <w:tc>
          <w:tcPr>
            <w:tcW w:type="dxa" w:w="2268"/>
            <w:shd w:val="clear" w:fill="F4E7EB"/>
          </w:tcPr>
          <w:p>
            <w:pPr>
              <w:spacing w:after="0"/>
              <w:jc w:val="left"/>
            </w:pPr>
            <w:r>
              <w:rPr>
                <w:b/>
              </w:rPr>
            </w:r>
            <w:r>
              <w:rPr>
                <w:b/>
                <w:i w:val="0"/>
                <w:sz w:val="16"/>
              </w:rPr>
              <w:t>Menor fonte no PDF exportado</w:t>
            </w:r>
          </w:p>
        </w:tc>
        <w:tc>
          <w:tcPr>
            <w:tcW w:type="dxa" w:w="2041"/>
            <w:shd w:val="clear" w:fill="F4E7EB"/>
          </w:tcPr>
          <w:p>
            <w:pPr>
              <w:spacing w:after="0"/>
              <w:jc w:val="left"/>
            </w:pPr>
            <w:r>
              <w:rPr>
                <w:b/>
              </w:rPr>
            </w:r>
            <w:r>
              <w:rPr>
                <w:b/>
                <w:i w:val="0"/>
                <w:sz w:val="16"/>
              </w:rPr>
              <w:t>Impresso em A4 paisagem (margens de 2 cm)</w:t>
            </w:r>
          </w:p>
        </w:tc>
      </w:tr>
      <w:tr>
        <w:tc>
          <w:tcPr>
            <w:tcW w:type="dxa" w:w="1020"/>
          </w:tcPr>
          <w:p>
            <w:pPr>
              <w:spacing w:after="0" w:line="240" w:lineRule="auto"/>
              <w:jc w:val="left"/>
            </w:pPr>
            <w:r/>
            <w:r>
              <w:rPr>
                <w:b w:val="0"/>
                <w:i w:val="0"/>
                <w:sz w:val="16"/>
              </w:rPr>
              <w:t>1 — Visão geral</w:t>
            </w:r>
          </w:p>
        </w:tc>
        <w:tc>
          <w:tcPr>
            <w:tcW w:type="dxa" w:w="2835"/>
          </w:tcPr>
          <w:p>
            <w:pPr>
              <w:spacing w:after="0" w:line="240" w:lineRule="auto"/>
              <w:jc w:val="left"/>
            </w:pPr>
            <w:r/>
            <w:r>
              <w:rPr>
                <w:b w:val="0"/>
                <w:i w:val="0"/>
                <w:sz w:val="16"/>
              </w:rPr>
              <w:t>sistema completo (</w:t>
            </w:r>
            <w:r>
              <w:rPr>
                <w:rFonts w:ascii="Consolas" w:hAnsi="Consolas"/>
                <w:b w:val="0"/>
                <w:i w:val="0"/>
                <w:color w:val="8B1A3A"/>
                <w:sz w:val="15"/>
              </w:rPr>
              <w:t>P2_arquitetura.png</w:t>
            </w:r>
            <w:r>
              <w:rPr>
                <w:b w:val="0"/>
                <w:i w:val="0"/>
                <w:sz w:val="16"/>
              </w:rPr>
              <w:t xml:space="preserve"> / </w:t>
            </w:r>
            <w:r>
              <w:rPr>
                <w:rFonts w:ascii="Consolas" w:hAnsi="Consolas"/>
                <w:b w:val="0"/>
                <w:i w:val="0"/>
                <w:color w:val="8B1A3A"/>
                <w:sz w:val="15"/>
              </w:rPr>
              <w:t>.svg</w:t>
            </w:r>
            <w:r>
              <w:rPr>
                <w:b w:val="0"/>
                <w:i w:val="0"/>
                <w:sz w:val="16"/>
              </w:rPr>
              <w:t>)</w:t>
            </w:r>
          </w:p>
        </w:tc>
        <w:tc>
          <w:tcPr>
            <w:tcW w:type="dxa" w:w="1474"/>
          </w:tcPr>
          <w:p>
            <w:pPr>
              <w:spacing w:after="0" w:line="240" w:lineRule="auto"/>
              <w:jc w:val="left"/>
            </w:pPr>
            <w:r/>
            <w:r>
              <w:rPr>
                <w:b w:val="0"/>
                <w:i w:val="0"/>
                <w:sz w:val="16"/>
              </w:rPr>
              <w:t>1976 × 1543</w:t>
            </w:r>
          </w:p>
        </w:tc>
        <w:tc>
          <w:tcPr>
            <w:tcW w:type="dxa" w:w="2268"/>
          </w:tcPr>
          <w:p>
            <w:pPr>
              <w:spacing w:after="0" w:line="240" w:lineRule="auto"/>
              <w:jc w:val="left"/>
            </w:pPr>
            <w:r/>
            <w:r>
              <w:rPr>
                <w:b w:val="0"/>
                <w:i w:val="0"/>
                <w:sz w:val="16"/>
              </w:rPr>
              <w:t>8,6 pt (notas e rótulos de seta)</w:t>
            </w:r>
          </w:p>
        </w:tc>
        <w:tc>
          <w:tcPr>
            <w:tcW w:type="dxa" w:w="2041"/>
          </w:tcPr>
          <w:p>
            <w:pPr>
              <w:spacing w:after="0" w:line="240" w:lineRule="auto"/>
              <w:jc w:val="left"/>
            </w:pPr>
            <w:r/>
            <w:r>
              <w:rPr>
                <w:b w:val="0"/>
                <w:i w:val="0"/>
                <w:sz w:val="16"/>
              </w:rPr>
              <w:t>~3,7 pt (nomes de serviço: ~4,5 pt) — leitura em tela/zoom</w:t>
            </w:r>
          </w:p>
        </w:tc>
      </w:tr>
      <w:tr>
        <w:tc>
          <w:tcPr>
            <w:tcW w:type="dxa" w:w="1020"/>
          </w:tcPr>
          <w:p>
            <w:pPr>
              <w:spacing w:after="0" w:line="240" w:lineRule="auto"/>
              <w:jc w:val="left"/>
            </w:pPr>
            <w:r/>
            <w:r>
              <w:rPr>
                <w:b w:val="0"/>
                <w:i w:val="0"/>
                <w:sz w:val="16"/>
              </w:rPr>
              <w:t>2 — Detalhe 1</w:t>
            </w:r>
          </w:p>
        </w:tc>
        <w:tc>
          <w:tcPr>
            <w:tcW w:type="dxa" w:w="2835"/>
          </w:tcPr>
          <w:p>
            <w:pPr>
              <w:spacing w:after="0" w:line="240" w:lineRule="auto"/>
              <w:jc w:val="left"/>
            </w:pPr>
            <w:r/>
            <w:r>
              <w:rPr>
                <w:b w:val="0"/>
                <w:i w:val="0"/>
                <w:sz w:val="16"/>
              </w:rPr>
              <w:t>canais → gateway → 12 serviços, cada um com seu banco (</w:t>
            </w:r>
            <w:r>
              <w:rPr>
                <w:rFonts w:ascii="Consolas" w:hAnsi="Consolas"/>
                <w:b w:val="0"/>
                <w:i w:val="0"/>
                <w:color w:val="8B1A3A"/>
                <w:sz w:val="15"/>
              </w:rPr>
              <w:t>P2_arquitetura_d1_servicos.*</w:t>
            </w:r>
            <w:r>
              <w:rPr>
                <w:b w:val="0"/>
                <w:i w:val="0"/>
                <w:sz w:val="16"/>
              </w:rPr>
              <w:t>)</w:t>
            </w:r>
          </w:p>
        </w:tc>
        <w:tc>
          <w:tcPr>
            <w:tcW w:type="dxa" w:w="1474"/>
          </w:tcPr>
          <w:p>
            <w:pPr>
              <w:spacing w:after="0" w:line="240" w:lineRule="auto"/>
              <w:jc w:val="left"/>
            </w:pPr>
            <w:r/>
            <w:r>
              <w:rPr>
                <w:b w:val="0"/>
                <w:i w:val="0"/>
                <w:sz w:val="16"/>
              </w:rPr>
              <w:t>1371 × 900</w:t>
            </w:r>
          </w:p>
        </w:tc>
        <w:tc>
          <w:tcPr>
            <w:tcW w:type="dxa" w:w="2268"/>
          </w:tcPr>
          <w:p>
            <w:pPr>
              <w:spacing w:after="0" w:line="240" w:lineRule="auto"/>
              <w:jc w:val="left"/>
            </w:pPr>
            <w:r/>
            <w:r>
              <w:rPr>
                <w:b w:val="0"/>
                <w:i w:val="0"/>
                <w:sz w:val="16"/>
              </w:rPr>
              <w:t>17,3 pt</w:t>
            </w:r>
          </w:p>
        </w:tc>
        <w:tc>
          <w:tcPr>
            <w:tcW w:type="dxa" w:w="2041"/>
          </w:tcPr>
          <w:p>
            <w:pPr>
              <w:spacing w:after="0" w:line="240" w:lineRule="auto"/>
              <w:jc w:val="left"/>
            </w:pPr>
            <w:r/>
            <w:r>
              <w:rPr>
                <w:b/>
                <w:i w:val="0"/>
                <w:sz w:val="16"/>
              </w:rPr>
              <w:t>~12,7 pt</w:t>
            </w:r>
          </w:p>
        </w:tc>
      </w:tr>
      <w:tr>
        <w:tc>
          <w:tcPr>
            <w:tcW w:type="dxa" w:w="1020"/>
          </w:tcPr>
          <w:p>
            <w:pPr>
              <w:spacing w:after="0" w:line="240" w:lineRule="auto"/>
              <w:jc w:val="left"/>
            </w:pPr>
            <w:r/>
            <w:r>
              <w:rPr>
                <w:b w:val="0"/>
                <w:i w:val="0"/>
                <w:sz w:val="16"/>
              </w:rPr>
              <w:t>3 — Detalhe 2</w:t>
            </w:r>
          </w:p>
        </w:tc>
        <w:tc>
          <w:tcPr>
            <w:tcW w:type="dxa" w:w="2835"/>
          </w:tcPr>
          <w:p>
            <w:pPr>
              <w:spacing w:after="0" w:line="240" w:lineRule="auto"/>
              <w:jc w:val="left"/>
            </w:pPr>
            <w:r/>
            <w:r>
              <w:rPr>
                <w:b w:val="0"/>
                <w:i w:val="0"/>
                <w:sz w:val="16"/>
              </w:rPr>
              <w:t>Kafka: 10 tópicos, produtores e consumidores (</w:t>
            </w:r>
            <w:r>
              <w:rPr>
                <w:rFonts w:ascii="Consolas" w:hAnsi="Consolas"/>
                <w:b w:val="0"/>
                <w:i w:val="0"/>
                <w:color w:val="8B1A3A"/>
                <w:sz w:val="15"/>
              </w:rPr>
              <w:t>P2_arquitetura_d2_eventos.*</w:t>
            </w:r>
            <w:r>
              <w:rPr>
                <w:b w:val="0"/>
                <w:i w:val="0"/>
                <w:sz w:val="16"/>
              </w:rPr>
              <w:t>)</w:t>
            </w:r>
          </w:p>
        </w:tc>
        <w:tc>
          <w:tcPr>
            <w:tcW w:type="dxa" w:w="1474"/>
          </w:tcPr>
          <w:p>
            <w:pPr>
              <w:spacing w:after="0" w:line="240" w:lineRule="auto"/>
              <w:jc w:val="left"/>
            </w:pPr>
            <w:r/>
            <w:r>
              <w:rPr>
                <w:b w:val="0"/>
                <w:i w:val="0"/>
                <w:sz w:val="16"/>
              </w:rPr>
              <w:t>1366 × 945</w:t>
            </w:r>
          </w:p>
        </w:tc>
        <w:tc>
          <w:tcPr>
            <w:tcW w:type="dxa" w:w="2268"/>
          </w:tcPr>
          <w:p>
            <w:pPr>
              <w:spacing w:after="0" w:line="240" w:lineRule="auto"/>
              <w:jc w:val="left"/>
            </w:pPr>
            <w:r/>
            <w:r>
              <w:rPr>
                <w:b w:val="0"/>
                <w:i w:val="0"/>
                <w:sz w:val="16"/>
              </w:rPr>
              <w:t>17,3 pt</w:t>
            </w:r>
          </w:p>
        </w:tc>
        <w:tc>
          <w:tcPr>
            <w:tcW w:type="dxa" w:w="2041"/>
          </w:tcPr>
          <w:p>
            <w:pPr>
              <w:spacing w:after="0" w:line="240" w:lineRule="auto"/>
              <w:jc w:val="left"/>
            </w:pPr>
            <w:r/>
            <w:r>
              <w:rPr>
                <w:b/>
                <w:i w:val="0"/>
                <w:sz w:val="16"/>
              </w:rPr>
              <w:t>~12,2 pt</w:t>
            </w:r>
          </w:p>
        </w:tc>
      </w:tr>
      <w:tr>
        <w:tc>
          <w:tcPr>
            <w:tcW w:type="dxa" w:w="1020"/>
          </w:tcPr>
          <w:p>
            <w:pPr>
              <w:spacing w:after="0" w:line="240" w:lineRule="auto"/>
              <w:jc w:val="left"/>
            </w:pPr>
            <w:r/>
            <w:r>
              <w:rPr>
                <w:b w:val="0"/>
                <w:i w:val="0"/>
                <w:sz w:val="16"/>
              </w:rPr>
              <w:t>4 — Detalhe 3</w:t>
            </w:r>
          </w:p>
        </w:tc>
        <w:tc>
          <w:tcPr>
            <w:tcW w:type="dxa" w:w="2835"/>
          </w:tcPr>
          <w:p>
            <w:pPr>
              <w:spacing w:after="0" w:line="240" w:lineRule="auto"/>
              <w:jc w:val="left"/>
            </w:pPr>
            <w:r/>
            <w:r>
              <w:rPr>
                <w:b w:val="0"/>
                <w:i w:val="0"/>
                <w:sz w:val="16"/>
              </w:rPr>
              <w:t>fluxo IoT ponta a ponta + migração Strangler Fig (</w:t>
            </w:r>
            <w:r>
              <w:rPr>
                <w:rFonts w:ascii="Consolas" w:hAnsi="Consolas"/>
                <w:b w:val="0"/>
                <w:i w:val="0"/>
                <w:color w:val="8B1A3A"/>
                <w:sz w:val="15"/>
              </w:rPr>
              <w:t>P2_arquitetura_d3_iot_migracao.*</w:t>
            </w:r>
            <w:r>
              <w:rPr>
                <w:b w:val="0"/>
                <w:i w:val="0"/>
                <w:sz w:val="16"/>
              </w:rPr>
              <w:t>)</w:t>
            </w:r>
          </w:p>
        </w:tc>
        <w:tc>
          <w:tcPr>
            <w:tcW w:type="dxa" w:w="1474"/>
          </w:tcPr>
          <w:p>
            <w:pPr>
              <w:spacing w:after="0" w:line="240" w:lineRule="auto"/>
              <w:jc w:val="left"/>
            </w:pPr>
            <w:r/>
            <w:r>
              <w:rPr>
                <w:b w:val="0"/>
                <w:i w:val="0"/>
                <w:sz w:val="16"/>
              </w:rPr>
              <w:t>1397 × 925</w:t>
            </w:r>
          </w:p>
        </w:tc>
        <w:tc>
          <w:tcPr>
            <w:tcW w:type="dxa" w:w="2268"/>
          </w:tcPr>
          <w:p>
            <w:pPr>
              <w:spacing w:after="0" w:line="240" w:lineRule="auto"/>
              <w:jc w:val="left"/>
            </w:pPr>
            <w:r/>
            <w:r>
              <w:rPr>
                <w:b w:val="0"/>
                <w:i w:val="0"/>
                <w:sz w:val="16"/>
              </w:rPr>
              <w:t>17,3 pt</w:t>
            </w:r>
          </w:p>
        </w:tc>
        <w:tc>
          <w:tcPr>
            <w:tcW w:type="dxa" w:w="2041"/>
          </w:tcPr>
          <w:p>
            <w:pPr>
              <w:spacing w:after="0" w:line="240" w:lineRule="auto"/>
              <w:jc w:val="left"/>
            </w:pPr>
            <w:r/>
            <w:r>
              <w:rPr>
                <w:b/>
                <w:i w:val="0"/>
                <w:sz w:val="16"/>
              </w:rPr>
              <w:t>~12,4 pt</w:t>
            </w:r>
          </w:p>
        </w:tc>
      </w:tr>
    </w:tbl>
    <w:p>
      <w:r>
        <w:rPr>
          <w:b w:val="0"/>
          <w:i w:val="0"/>
          <w:sz w:val="22"/>
        </w:rPr>
        <w:t xml:space="preserve">Como foi medido (não é estimativa): o </w:t>
      </w:r>
      <w:r>
        <w:rPr>
          <w:rFonts w:ascii="Consolas" w:hAnsi="Consolas"/>
          <w:b w:val="0"/>
          <w:i w:val="0"/>
          <w:color w:val="8B1A3A"/>
          <w:sz w:val="21"/>
        </w:rPr>
        <w:t>.drawio</w:t>
      </w:r>
      <w:r>
        <w:rPr>
          <w:b w:val="0"/>
          <w:i w:val="0"/>
          <w:sz w:val="22"/>
        </w:rPr>
        <w:t xml:space="preserve"> foi exportado para PDF e a menor fonte de cada página foi lida do próprio PDF; o valor impresso é essa fonte multiplicada pelo fator de escala necessário para caber na área útil de uma A4 paisagem (0,70–0,74 nas páginas de detalhe, 0,43 na visão geral). Como referência, uma fonte de 24 px no draw.io equivale a 18 pt com o desenho em tamanho natural.</w:t>
      </w:r>
    </w:p>
    <w:p>
      <w:r>
        <w:rPr>
          <w:b w:val="0"/>
          <w:i w:val="0"/>
          <w:sz w:val="22"/>
        </w:rPr>
        <w:t>As três páginas de detalhe entram em páginas paisagem deste documento (Figuras 2 a 4); em A4 retrato as mesmas figuras cairiam para ~8,4 pt. A visão geral continua sendo a figura de abertura da seção (em tela, o SVG permite zoom).</w:t>
      </w:r>
    </w:p>
    <w:p>
      <w:r>
        <w:rPr>
          <w:b w:val="0"/>
          <w:i w:val="0"/>
          <w:sz w:val="22"/>
        </w:rPr>
        <w:t>As figuras de detalhe não acrescentam conteúdo novo ao sistema desenhado: repetem, em escala legível, o que já está na visão geral, e cada uma traz a própria legenda, para poder ser lida isolada.</w:t>
      </w:r>
    </w:p>
    <w:p>
      <w:pPr>
        <w:sectPr>
          <w:pgSz w:w="11906" w:h="16838"/>
          <w:pgMar w:top="1134" w:right="1134" w:bottom="1134" w:left="1417" w:header="720" w:footer="720" w:gutter="0"/>
          <w:cols w:space="720"/>
          <w:docGrid w:linePitch="360"/>
        </w:sectPr>
      </w:pPr>
    </w:p>
    <w:p>
      <w:pPr>
        <w:spacing w:after="80"/>
        <w:jc w:val="center"/>
      </w:pPr>
      <w:r>
        <w:drawing>
          <wp:inline xmlns:a="http://schemas.openxmlformats.org/drawingml/2006/main" xmlns:pic="http://schemas.openxmlformats.org/drawingml/2006/picture">
            <wp:extent cx="8479527" cy="5580000"/>
            <wp:docPr id="2" name="Picture 2"/>
            <wp:cNvGraphicFramePr>
              <a:graphicFrameLocks noChangeAspect="1"/>
            </wp:cNvGraphicFramePr>
            <a:graphic>
              <a:graphicData uri="http://schemas.openxmlformats.org/drawingml/2006/picture">
                <pic:pic>
                  <pic:nvPicPr>
                    <pic:cNvPr id="0" name="P2_arquitetura_d1_servicos.png"/>
                    <pic:cNvPicPr/>
                  </pic:nvPicPr>
                  <pic:blipFill>
                    <a:blip r:embed="rId11"/>
                    <a:stretch>
                      <a:fillRect/>
                    </a:stretch>
                  </pic:blipFill>
                  <pic:spPr>
                    <a:xfrm>
                      <a:off x="0" y="0"/>
                      <a:ext cx="8479527" cy="5580000"/>
                    </a:xfrm>
                    <a:prstGeom prst="rect"/>
                  </pic:spPr>
                </pic:pic>
              </a:graphicData>
            </a:graphic>
          </wp:inline>
        </w:drawing>
      </w:r>
    </w:p>
    <w:p>
      <w:pPr>
        <w:keepNext w:val="0"/>
        <w:spacing w:after="120" w:before="60"/>
        <w:jc w:val="center"/>
      </w:pPr>
      <w:r>
        <w:rPr>
          <w:b w:val="0"/>
          <w:i/>
          <w:color w:val="595959"/>
          <w:sz w:val="19"/>
        </w:rPr>
        <w:t>Figura 2 — Detalhe 1: canais, API Gateway e os 12 serviços, cada um com o seu próprio banco</w:t>
      </w:r>
    </w:p>
    <w:p>
      <w:pPr>
        <w:sectPr>
          <w:pgSz w:w="16838" w:h="11906" w:orient="landscape"/>
          <w:pgMar w:top="850" w:right="850" w:bottom="850" w:left="850" w:header="720" w:footer="720" w:gutter="0"/>
          <w:cols w:space="720"/>
          <w:docGrid w:linePitch="360"/>
        </w:sectPr>
      </w:pPr>
    </w:p>
    <w:p>
      <w:pPr>
        <w:sectPr>
          <w:pgSz w:w="11906" w:h="16838"/>
          <w:pgMar w:top="1134" w:right="1134" w:bottom="1134" w:left="1417" w:header="720" w:footer="720" w:gutter="0"/>
          <w:cols w:space="720"/>
          <w:docGrid w:linePitch="360"/>
        </w:sectPr>
      </w:pPr>
    </w:p>
    <w:p>
      <w:pPr>
        <w:spacing w:after="80"/>
        <w:jc w:val="center"/>
      </w:pPr>
      <w:r>
        <w:drawing>
          <wp:inline xmlns:a="http://schemas.openxmlformats.org/drawingml/2006/main" xmlns:pic="http://schemas.openxmlformats.org/drawingml/2006/picture">
            <wp:extent cx="8028776" cy="5579999"/>
            <wp:docPr id="3" name="Picture 3"/>
            <wp:cNvGraphicFramePr>
              <a:graphicFrameLocks noChangeAspect="1"/>
            </wp:cNvGraphicFramePr>
            <a:graphic>
              <a:graphicData uri="http://schemas.openxmlformats.org/drawingml/2006/picture">
                <pic:pic>
                  <pic:nvPicPr>
                    <pic:cNvPr id="0" name="P2_arquitetura_d2_eventos.png"/>
                    <pic:cNvPicPr/>
                  </pic:nvPicPr>
                  <pic:blipFill>
                    <a:blip r:embed="rId12"/>
                    <a:stretch>
                      <a:fillRect/>
                    </a:stretch>
                  </pic:blipFill>
                  <pic:spPr>
                    <a:xfrm>
                      <a:off x="0" y="0"/>
                      <a:ext cx="8028776" cy="5579999"/>
                    </a:xfrm>
                    <a:prstGeom prst="rect"/>
                  </pic:spPr>
                </pic:pic>
              </a:graphicData>
            </a:graphic>
          </wp:inline>
        </w:drawing>
      </w:r>
    </w:p>
    <w:p>
      <w:pPr>
        <w:keepNext w:val="0"/>
        <w:spacing w:after="120" w:before="60"/>
        <w:jc w:val="center"/>
      </w:pPr>
      <w:r>
        <w:rPr>
          <w:b w:val="0"/>
          <w:i/>
          <w:color w:val="595959"/>
          <w:sz w:val="19"/>
        </w:rPr>
        <w:t>Figura 3 — Detalhe 2: tópicos do Kafka, produtores e consumidores</w:t>
      </w:r>
    </w:p>
    <w:p>
      <w:pPr>
        <w:sectPr>
          <w:pgSz w:w="16838" w:h="11906" w:orient="landscape"/>
          <w:pgMar w:top="850" w:right="850" w:bottom="850" w:left="850" w:header="720" w:footer="720" w:gutter="0"/>
          <w:cols w:space="720"/>
          <w:docGrid w:linePitch="360"/>
        </w:sectPr>
      </w:pPr>
    </w:p>
    <w:p>
      <w:pPr>
        <w:sectPr>
          <w:pgSz w:w="11906" w:h="16838"/>
          <w:pgMar w:top="1134" w:right="1134" w:bottom="1134" w:left="1417" w:header="720" w:footer="720" w:gutter="0"/>
          <w:cols w:space="720"/>
          <w:docGrid w:linePitch="360"/>
        </w:sectPr>
      </w:pPr>
    </w:p>
    <w:p>
      <w:pPr>
        <w:spacing w:after="80"/>
        <w:jc w:val="center"/>
      </w:pPr>
      <w:r>
        <w:drawing>
          <wp:inline xmlns:a="http://schemas.openxmlformats.org/drawingml/2006/main" xmlns:pic="http://schemas.openxmlformats.org/drawingml/2006/picture">
            <wp:extent cx="8408539" cy="5580000"/>
            <wp:docPr id="4" name="Picture 4"/>
            <wp:cNvGraphicFramePr>
              <a:graphicFrameLocks noChangeAspect="1"/>
            </wp:cNvGraphicFramePr>
            <a:graphic>
              <a:graphicData uri="http://schemas.openxmlformats.org/drawingml/2006/picture">
                <pic:pic>
                  <pic:nvPicPr>
                    <pic:cNvPr id="0" name="P2_arquitetura_d3_iot_migracao.png"/>
                    <pic:cNvPicPr/>
                  </pic:nvPicPr>
                  <pic:blipFill>
                    <a:blip r:embed="rId13"/>
                    <a:stretch>
                      <a:fillRect/>
                    </a:stretch>
                  </pic:blipFill>
                  <pic:spPr>
                    <a:xfrm>
                      <a:off x="0" y="0"/>
                      <a:ext cx="8408539" cy="5580000"/>
                    </a:xfrm>
                    <a:prstGeom prst="rect"/>
                  </pic:spPr>
                </pic:pic>
              </a:graphicData>
            </a:graphic>
          </wp:inline>
        </w:drawing>
      </w:r>
    </w:p>
    <w:p>
      <w:pPr>
        <w:keepNext w:val="0"/>
        <w:spacing w:after="120" w:before="60"/>
        <w:jc w:val="center"/>
      </w:pPr>
      <w:r>
        <w:rPr>
          <w:b w:val="0"/>
          <w:i/>
          <w:color w:val="595959"/>
          <w:sz w:val="19"/>
        </w:rPr>
        <w:t>Figura 4 — Detalhe 3: fluxo IoT da adega (sensor → MQTT → bridge → Kafka) e migração do monolito</w:t>
      </w:r>
    </w:p>
    <w:p>
      <w:pPr>
        <w:sectPr>
          <w:pgSz w:w="16838" w:h="11906" w:orient="landscape"/>
          <w:pgMar w:top="850" w:right="850" w:bottom="850" w:left="850" w:header="720" w:footer="720" w:gutter="0"/>
          <w:cols w:space="720"/>
          <w:docGrid w:linePitch="360"/>
        </w:sectPr>
      </w:pPr>
    </w:p>
    <w:p>
      <w:pPr>
        <w:sectPr>
          <w:pgSz w:w="11906" w:h="16838"/>
          <w:pgMar w:top="1134" w:right="1134" w:bottom="1134" w:left="1417" w:header="720" w:footer="720" w:gutter="0"/>
          <w:cols w:space="720"/>
          <w:docGrid w:linePitch="360"/>
        </w:sectPr>
      </w:pPr>
    </w:p>
    <w:p>
      <w:pPr>
        <w:pStyle w:val="Heading1"/>
      </w:pPr>
      <w:r>
        <w:rPr>
          <w:b w:val="0"/>
          <w:i w:val="0"/>
          <w:sz w:val="22"/>
        </w:rPr>
        <w:t>3. Padrões de Arquitetura e Justificativas</w:t>
      </w:r>
    </w:p>
    <w:p>
      <w:r>
        <w:rPr>
          <w:b w:val="0"/>
          <w:i/>
          <w:color w:val="595959"/>
          <w:sz w:val="19"/>
        </w:rPr>
        <w:t>Responsável: André Luiz dos Santos Flores — RM 554952 · Período: 22/09/2026 a 30/09/2026 · Versão 1.1, com revisão de consolidação de 30/09/2026</w:t>
      </w:r>
    </w:p>
    <w:p>
      <w:pPr>
        <w:pStyle w:val="Heading2"/>
      </w:pPr>
      <w:r>
        <w:rPr>
          <w:b w:val="0"/>
          <w:i w:val="0"/>
          <w:sz w:val="22"/>
        </w:rPr>
        <w:t>3.1 Padrões obrigatórios</w:t>
      </w:r>
    </w:p>
    <w:p>
      <w:pPr>
        <w:pStyle w:val="Heading3"/>
      </w:pPr>
      <w:r>
        <w:rPr>
          <w:b w:val="0"/>
          <w:i w:val="0"/>
          <w:sz w:val="22"/>
        </w:rPr>
        <w:t>3.1.1 API Gateway Pattern</w:t>
      </w:r>
    </w:p>
    <w:p>
      <w:r>
        <w:rPr>
          <w:b/>
          <w:i w:val="0"/>
          <w:sz w:val="22"/>
        </w:rPr>
        <w:t>O que resolve →</w:t>
      </w:r>
      <w:r>
        <w:rPr>
          <w:b w:val="0"/>
          <w:i w:val="0"/>
          <w:sz w:val="22"/>
        </w:rPr>
        <w:t xml:space="preserve"> O API Gateway cria um ponto único de entrada para os clientes e evita que Web, aplicativo mobile e painel interno precisem conhecer diretamente o endereço e a topologia de cada microsserviço. Além do roteamento, ele concentra responsabilidades transversais da borda da aplicação, como validação de autenticação, limitação de requisições e composição de respostas para diferentes canais.</w:t>
      </w:r>
    </w:p>
    <w:p>
      <w:r>
        <w:rPr>
          <w:b/>
          <w:i w:val="0"/>
          <w:sz w:val="22"/>
        </w:rPr>
        <w:t>Como aparece no nosso sistema →</w:t>
      </w:r>
      <w:r>
        <w:rPr>
          <w:b w:val="0"/>
          <w:i w:val="0"/>
          <w:sz w:val="22"/>
        </w:rPr>
        <w:t xml:space="preserve"> Na arquitetura da Vinheria Agnello, todos os canais entram obrigatoriamente pelo </w:t>
      </w:r>
      <w:r>
        <w:rPr>
          <w:b/>
          <w:i w:val="0"/>
          <w:sz w:val="22"/>
        </w:rPr>
        <w:t>API Gateway</w:t>
      </w:r>
      <w:r>
        <w:rPr>
          <w:b w:val="0"/>
          <w:i w:val="0"/>
          <w:sz w:val="22"/>
        </w:rPr>
        <w:t xml:space="preserve">. Ele roteia requisições no formato </w:t>
      </w:r>
      <w:r>
        <w:rPr>
          <w:rFonts w:ascii="Consolas" w:hAnsi="Consolas"/>
          <w:b w:val="0"/>
          <w:i w:val="0"/>
          <w:color w:val="8B1A3A"/>
          <w:sz w:val="21"/>
        </w:rPr>
        <w:t>/api/&lt;dominio&gt;</w:t>
      </w:r>
      <w:r>
        <w:rPr>
          <w:b w:val="0"/>
          <w:i w:val="0"/>
          <w:sz w:val="22"/>
        </w:rPr>
        <w:t xml:space="preserve"> para o respectivo </w:t>
      </w:r>
      <w:r>
        <w:rPr>
          <w:rFonts w:ascii="Consolas" w:hAnsi="Consolas"/>
          <w:b w:val="0"/>
          <w:i w:val="0"/>
          <w:color w:val="8B1A3A"/>
          <w:sz w:val="21"/>
        </w:rPr>
        <w:t>ms-&lt;dominio&gt;</w:t>
      </w:r>
      <w:r>
        <w:rPr>
          <w:b w:val="0"/>
          <w:i w:val="0"/>
          <w:sz w:val="22"/>
        </w:rPr>
        <w:t xml:space="preserve">, valida o JWT emitido pelo </w:t>
      </w:r>
      <w:r>
        <w:rPr>
          <w:rFonts w:ascii="Consolas" w:hAnsi="Consolas"/>
          <w:b w:val="0"/>
          <w:i w:val="0"/>
          <w:color w:val="8B1A3A"/>
          <w:sz w:val="21"/>
        </w:rPr>
        <w:t>ms-identidade</w:t>
      </w:r>
      <w:r>
        <w:rPr>
          <w:b w:val="0"/>
          <w:i w:val="0"/>
          <w:sz w:val="22"/>
        </w:rPr>
        <w:t xml:space="preserve">, aplica </w:t>
      </w:r>
      <w:r>
        <w:rPr>
          <w:b w:val="0"/>
          <w:i/>
          <w:sz w:val="22"/>
        </w:rPr>
        <w:t>rate limit</w:t>
      </w:r>
      <w:r>
        <w:rPr>
          <w:b w:val="0"/>
          <w:i w:val="0"/>
          <w:sz w:val="22"/>
        </w:rPr>
        <w:t xml:space="preserve"> com contadores no Redis e realiza agregação/BFF para o aplicativo mobile. Assim, uma operação do Web ou do app pode chegar, por exemplo, ao </w:t>
      </w:r>
      <w:r>
        <w:rPr>
          <w:rFonts w:ascii="Consolas" w:hAnsi="Consolas"/>
          <w:b w:val="0"/>
          <w:i w:val="0"/>
          <w:color w:val="8B1A3A"/>
          <w:sz w:val="21"/>
        </w:rPr>
        <w:t>ms-catalogo</w:t>
      </w:r>
      <w:r>
        <w:rPr>
          <w:b w:val="0"/>
          <w:i w:val="0"/>
          <w:sz w:val="22"/>
        </w:rPr>
        <w:t xml:space="preserve">, </w:t>
      </w:r>
      <w:r>
        <w:rPr>
          <w:rFonts w:ascii="Consolas" w:hAnsi="Consolas"/>
          <w:b w:val="0"/>
          <w:i w:val="0"/>
          <w:color w:val="8B1A3A"/>
          <w:sz w:val="21"/>
        </w:rPr>
        <w:t>ms-pedidos</w:t>
      </w:r>
      <w:r>
        <w:rPr>
          <w:b w:val="0"/>
          <w:i w:val="0"/>
          <w:sz w:val="22"/>
        </w:rPr>
        <w:t xml:space="preserve"> ou </w:t>
      </w:r>
      <w:r>
        <w:rPr>
          <w:rFonts w:ascii="Consolas" w:hAnsi="Consolas"/>
          <w:b w:val="0"/>
          <w:i w:val="0"/>
          <w:color w:val="8B1A3A"/>
          <w:sz w:val="21"/>
        </w:rPr>
        <w:t>ms-clientes</w:t>
      </w:r>
      <w:r>
        <w:rPr>
          <w:b w:val="0"/>
          <w:i w:val="0"/>
          <w:sz w:val="22"/>
        </w:rPr>
        <w:t xml:space="preserve"> sem que o cliente acesse diretamente esses serviços. Durante a migração, as rotas ainda não extraídas continuam sendo encaminhadas pelo gateway ao sistema legado.</w:t>
      </w:r>
    </w:p>
    <w:p>
      <w:r>
        <w:rPr>
          <w:b/>
          <w:i w:val="0"/>
          <w:sz w:val="22"/>
        </w:rPr>
        <w:t>Trade-off/limitação →</w:t>
      </w:r>
      <w:r>
        <w:rPr>
          <w:b w:val="0"/>
          <w:i w:val="0"/>
          <w:sz w:val="22"/>
        </w:rPr>
        <w:t xml:space="preserve"> O gateway passa a ser um componente crítico da arquitetura. Uma falha ou configuração incorreta pode afetar o acesso a vários serviços ao mesmo tempo. Ele também precisa ser escalável e monitorado para não se tornar gargalo nem concentrar regras de negócio que deveriam permanecer dentro dos microsserviços.</w:t>
      </w:r>
    </w:p>
    <w:p>
      <w:pPr>
        <w:pStyle w:val="Heading3"/>
      </w:pPr>
      <w:r>
        <w:rPr>
          <w:b w:val="0"/>
          <w:i w:val="0"/>
          <w:sz w:val="22"/>
        </w:rPr>
        <w:t>3.1.2 Service Discovery Pattern</w:t>
      </w:r>
    </w:p>
    <w:p>
      <w:r>
        <w:rPr>
          <w:b/>
          <w:i w:val="0"/>
          <w:sz w:val="22"/>
        </w:rPr>
        <w:t>O que resolve →</w:t>
      </w:r>
      <w:r>
        <w:rPr>
          <w:b w:val="0"/>
          <w:i w:val="0"/>
          <w:sz w:val="22"/>
        </w:rPr>
        <w:t xml:space="preserve"> O Service Discovery permite que os componentes da arquitetura localizem instâncias dos serviços sem depender de endereços IP fixos. Isso é importante em um ambiente distribuído, porque instâncias podem ser reiniciadas, substituídas ou replicadas sem exigir reconfiguração manual dos consumidores.</w:t>
      </w:r>
    </w:p>
    <w:p>
      <w:r>
        <w:rPr>
          <w:b/>
          <w:i w:val="0"/>
          <w:sz w:val="22"/>
        </w:rPr>
        <w:t>Como aparece no nosso sistema →</w:t>
      </w:r>
      <w:r>
        <w:rPr>
          <w:b w:val="0"/>
          <w:i w:val="0"/>
          <w:sz w:val="22"/>
        </w:rPr>
        <w:t xml:space="preserve"> A seção 2 representa explicitamente um componente de </w:t>
      </w:r>
      <w:r>
        <w:rPr>
          <w:b/>
          <w:i w:val="0"/>
          <w:sz w:val="22"/>
        </w:rPr>
        <w:t>Service registry / discovery</w:t>
      </w:r>
      <w:r>
        <w:rPr>
          <w:b w:val="0"/>
          <w:i w:val="0"/>
          <w:sz w:val="22"/>
        </w:rPr>
        <w:t xml:space="preserve">, responsável por registrar e localizar réplicas e por disponibilizar informações de </w:t>
      </w:r>
      <w:r>
        <w:rPr>
          <w:b w:val="0"/>
          <w:i/>
          <w:sz w:val="22"/>
        </w:rPr>
        <w:t>health check</w:t>
      </w:r>
      <w:r>
        <w:rPr>
          <w:b w:val="0"/>
          <w:i w:val="0"/>
          <w:sz w:val="22"/>
        </w:rPr>
        <w:t xml:space="preserve">. Dessa forma, serviços como </w:t>
      </w:r>
      <w:r>
        <w:rPr>
          <w:rFonts w:ascii="Consolas" w:hAnsi="Consolas"/>
          <w:b w:val="0"/>
          <w:i w:val="0"/>
          <w:color w:val="8B1A3A"/>
          <w:sz w:val="21"/>
        </w:rPr>
        <w:t>ms-pedidos</w:t>
      </w:r>
      <w:r>
        <w:rPr>
          <w:b w:val="0"/>
          <w:i w:val="0"/>
          <w:sz w:val="22"/>
        </w:rPr>
        <w:t xml:space="preserve">, </w:t>
      </w:r>
      <w:r>
        <w:rPr>
          <w:rFonts w:ascii="Consolas" w:hAnsi="Consolas"/>
          <w:b w:val="0"/>
          <w:i w:val="0"/>
          <w:color w:val="8B1A3A"/>
          <w:sz w:val="21"/>
        </w:rPr>
        <w:t>ms-estoque</w:t>
      </w:r>
      <w:r>
        <w:rPr>
          <w:b w:val="0"/>
          <w:i w:val="0"/>
          <w:sz w:val="22"/>
        </w:rPr>
        <w:t xml:space="preserve"> e </w:t>
      </w:r>
      <w:r>
        <w:rPr>
          <w:rFonts w:ascii="Consolas" w:hAnsi="Consolas"/>
          <w:b w:val="0"/>
          <w:i w:val="0"/>
          <w:color w:val="8B1A3A"/>
          <w:sz w:val="21"/>
        </w:rPr>
        <w:t>ms-pagamentos</w:t>
      </w:r>
      <w:r>
        <w:rPr>
          <w:b w:val="0"/>
          <w:i w:val="0"/>
          <w:sz w:val="22"/>
        </w:rPr>
        <w:t xml:space="preserve"> podem ser localizados pela plataforma sem acoplamento a um endereço fixo. A escolha aqui é pelo </w:t>
      </w:r>
      <w:r>
        <w:rPr>
          <w:b/>
          <w:i w:val="0"/>
          <w:sz w:val="22"/>
        </w:rPr>
        <w:t>ambiente</w:t>
      </w:r>
      <w:r>
        <w:rPr>
          <w:b w:val="0"/>
          <w:i w:val="0"/>
          <w:sz w:val="22"/>
        </w:rPr>
        <w:t xml:space="preserve">, não por moda: o alvo do grupo é uma plataforma orquestrada, como o próprio seção 5 assume ao dimensionar por </w:t>
      </w:r>
      <w:r>
        <w:rPr>
          <w:b w:val="0"/>
          <w:i/>
          <w:sz w:val="22"/>
        </w:rPr>
        <w:t>pod</w:t>
      </w:r>
      <w:r>
        <w:rPr>
          <w:b w:val="0"/>
          <w:i w:val="0"/>
          <w:sz w:val="22"/>
        </w:rPr>
        <w:t xml:space="preserve">, com HPA e mínimo de 2 réplicas nos serviços de núcleo (seção 5.5). Nesse ambiente a descoberta é nativa — cada serviço é exposto por um </w:t>
      </w:r>
      <w:r>
        <w:rPr>
          <w:rFonts w:ascii="Consolas" w:hAnsi="Consolas"/>
          <w:b w:val="0"/>
          <w:i w:val="0"/>
          <w:color w:val="8B1A3A"/>
          <w:sz w:val="21"/>
        </w:rPr>
        <w:t>Service</w:t>
      </w:r>
      <w:r>
        <w:rPr>
          <w:b w:val="0"/>
          <w:i w:val="0"/>
          <w:sz w:val="22"/>
        </w:rPr>
        <w:t xml:space="preserve"> com DNS interno, e as réplicas entram e saem do balanceamento conforme o </w:t>
      </w:r>
      <w:r>
        <w:rPr>
          <w:b w:val="0"/>
          <w:i/>
          <w:sz w:val="22"/>
        </w:rPr>
        <w:t>readiness probe</w:t>
      </w:r>
      <w:r>
        <w:rPr>
          <w:b w:val="0"/>
          <w:i w:val="0"/>
          <w:sz w:val="22"/>
        </w:rPr>
        <w:t xml:space="preserve">, sem catálogo externo de endpoints. Consul ou Eureka se justificariam </w:t>
      </w:r>
      <w:r>
        <w:rPr>
          <w:b/>
          <w:i w:val="0"/>
          <w:sz w:val="22"/>
        </w:rPr>
        <w:t>fora</w:t>
      </w:r>
      <w:r>
        <w:rPr>
          <w:b w:val="0"/>
          <w:i w:val="0"/>
          <w:sz w:val="22"/>
        </w:rPr>
        <w:t xml:space="preserve"> de um orquestrador, onde esse catálogo não existe: mantê-los aqui acrescentaria um segundo plano de controle para resolver o que o DNS interno já resolve. O padrão permanece o mesmo — muda só quem executa o papel de registry/discovery.</w:t>
      </w:r>
    </w:p>
    <w:p>
      <w:r>
        <w:rPr>
          <w:b/>
          <w:i w:val="0"/>
          <w:sz w:val="22"/>
        </w:rPr>
        <w:t>Trade-off/limitação →</w:t>
      </w:r>
      <w:r>
        <w:rPr>
          <w:b w:val="0"/>
          <w:i w:val="0"/>
          <w:sz w:val="22"/>
        </w:rPr>
        <w:t xml:space="preserve"> A descoberta de serviços adiciona infraestrutura e operação ao ambiente. Se o registry estiver indisponível ou com informações desatualizadas, novas chamadas podem não localizar uma instância saudável. Por isso, esse componente também precisa de alta disponibilidade e monitoramento. Delegar a descoberta à plataforma transfere essa responsabilidade para ela: </w:t>
      </w:r>
      <w:r>
        <w:rPr>
          <w:rFonts w:ascii="Consolas" w:hAnsi="Consolas"/>
          <w:b w:val="0"/>
          <w:i w:val="0"/>
          <w:color w:val="8B1A3A"/>
          <w:sz w:val="21"/>
        </w:rPr>
        <w:t>Service</w:t>
      </w:r>
      <w:r>
        <w:rPr>
          <w:b w:val="0"/>
          <w:i w:val="0"/>
          <w:sz w:val="22"/>
        </w:rPr>
        <w:t xml:space="preserve">, DNS interno e </w:t>
      </w:r>
      <w:r>
        <w:rPr>
          <w:b w:val="0"/>
          <w:i/>
          <w:sz w:val="22"/>
        </w:rPr>
        <w:t>probes</w:t>
      </w:r>
      <w:r>
        <w:rPr>
          <w:b w:val="0"/>
          <w:i w:val="0"/>
          <w:sz w:val="22"/>
        </w:rPr>
        <w:t xml:space="preserve"> passam a ser parte do caminho crítico, e um </w:t>
      </w:r>
      <w:r>
        <w:rPr>
          <w:b w:val="0"/>
          <w:i/>
          <w:sz w:val="22"/>
        </w:rPr>
        <w:t>readiness probe</w:t>
      </w:r>
      <w:r>
        <w:rPr>
          <w:b w:val="0"/>
          <w:i w:val="0"/>
          <w:sz w:val="22"/>
        </w:rPr>
        <w:t xml:space="preserve"> mal configurado tira do balanceamento uma instância que está no ar.</w:t>
      </w:r>
    </w:p>
    <w:p>
      <w:pPr>
        <w:pStyle w:val="Heading3"/>
      </w:pPr>
      <w:r>
        <w:rPr>
          <w:b w:val="0"/>
          <w:i w:val="0"/>
          <w:sz w:val="22"/>
        </w:rPr>
        <w:t>3.1.3 Database per Service Pattern</w:t>
      </w:r>
    </w:p>
    <w:p>
      <w:r>
        <w:rPr>
          <w:b/>
          <w:i w:val="0"/>
          <w:sz w:val="22"/>
        </w:rPr>
        <w:t>O que resolve →</w:t>
      </w:r>
      <w:r>
        <w:rPr>
          <w:b w:val="0"/>
          <w:i w:val="0"/>
          <w:sz w:val="22"/>
        </w:rPr>
        <w:t xml:space="preserve"> O Database per Service define que cada microsserviço é o único dono dos seus dados e que nenhum serviço acessa diretamente as tabelas ou coleções de outro. Isso reduz o acoplamento entre domínios e permite que cada serviço evolua seu modelo de dados de acordo com sua própria responsabilidade.</w:t>
      </w:r>
    </w:p>
    <w:p>
      <w:r>
        <w:rPr>
          <w:b/>
          <w:i w:val="0"/>
          <w:sz w:val="22"/>
        </w:rPr>
        <w:t>Como aparece no nosso sistema →</w:t>
      </w:r>
      <w:r>
        <w:rPr>
          <w:b w:val="0"/>
          <w:i w:val="0"/>
          <w:sz w:val="22"/>
        </w:rPr>
        <w:t xml:space="preserve"> Os 12 serviços da Vinheria possuem bancos próprios no diagrama. O </w:t>
      </w:r>
      <w:r>
        <w:rPr>
          <w:rFonts w:ascii="Consolas" w:hAnsi="Consolas"/>
          <w:b w:val="0"/>
          <w:i w:val="0"/>
          <w:color w:val="8B1A3A"/>
          <w:sz w:val="21"/>
        </w:rPr>
        <w:t>ms-catalogo</w:t>
      </w:r>
      <w:r>
        <w:rPr>
          <w:b w:val="0"/>
          <w:i w:val="0"/>
          <w:sz w:val="22"/>
        </w:rPr>
        <w:t xml:space="preserve"> usa MongoDB, o </w:t>
      </w:r>
      <w:r>
        <w:rPr>
          <w:rFonts w:ascii="Consolas" w:hAnsi="Consolas"/>
          <w:b w:val="0"/>
          <w:i w:val="0"/>
          <w:color w:val="8B1A3A"/>
          <w:sz w:val="21"/>
        </w:rPr>
        <w:t>ms-qualidade</w:t>
      </w:r>
      <w:r>
        <w:rPr>
          <w:b w:val="0"/>
          <w:i w:val="0"/>
          <w:sz w:val="22"/>
        </w:rPr>
        <w:t xml:space="preserve"> usa TimescaleDB e os demais serviços usam majoritariamente PostgreSQL, incluindo o read-model do </w:t>
      </w:r>
      <w:r>
        <w:rPr>
          <w:rFonts w:ascii="Consolas" w:hAnsi="Consolas"/>
          <w:b w:val="0"/>
          <w:i w:val="0"/>
          <w:color w:val="8B1A3A"/>
          <w:sz w:val="21"/>
        </w:rPr>
        <w:t>ms-analytics</w:t>
      </w:r>
      <w:r>
        <w:rPr>
          <w:b w:val="0"/>
          <w:i w:val="0"/>
          <w:sz w:val="22"/>
        </w:rPr>
        <w:t xml:space="preserve">. A posse de dados também foi definida na seção 1: o </w:t>
      </w:r>
      <w:r>
        <w:rPr>
          <w:rFonts w:ascii="Consolas" w:hAnsi="Consolas"/>
          <w:b w:val="0"/>
          <w:i w:val="0"/>
          <w:color w:val="8B1A3A"/>
          <w:sz w:val="21"/>
        </w:rPr>
        <w:t>ms-estoque</w:t>
      </w:r>
      <w:r>
        <w:rPr>
          <w:b w:val="0"/>
          <w:i w:val="0"/>
          <w:sz w:val="22"/>
        </w:rPr>
        <w:t xml:space="preserve">, por exemplo, é o único dono de Posição de Estoque, </w:t>
      </w:r>
      <w:r>
        <w:rPr>
          <w:rFonts w:ascii="Consolas" w:hAnsi="Consolas"/>
          <w:b w:val="0"/>
          <w:i w:val="0"/>
          <w:color w:val="8B1A3A"/>
          <w:sz w:val="21"/>
        </w:rPr>
        <w:t>MovimentacaoEstoque</w:t>
      </w:r>
      <w:r>
        <w:rPr>
          <w:b w:val="0"/>
          <w:i w:val="0"/>
          <w:sz w:val="22"/>
        </w:rPr>
        <w:t xml:space="preserve"> e Reserva; o </w:t>
      </w:r>
      <w:r>
        <w:rPr>
          <w:rFonts w:ascii="Consolas" w:hAnsi="Consolas"/>
          <w:b w:val="0"/>
          <w:i w:val="0"/>
          <w:color w:val="8B1A3A"/>
          <w:sz w:val="21"/>
        </w:rPr>
        <w:t>ms-pedidos</w:t>
      </w:r>
      <w:r>
        <w:rPr>
          <w:b w:val="0"/>
          <w:i w:val="0"/>
          <w:sz w:val="22"/>
        </w:rPr>
        <w:t xml:space="preserve"> é dono de Carrinho, Pedido, Item do Pedido e Status de Separação/Entrega; e o </w:t>
      </w:r>
      <w:r>
        <w:rPr>
          <w:rFonts w:ascii="Consolas" w:hAnsi="Consolas"/>
          <w:b w:val="0"/>
          <w:i w:val="0"/>
          <w:color w:val="8B1A3A"/>
          <w:sz w:val="21"/>
        </w:rPr>
        <w:t>ms-pagamentos</w:t>
      </w:r>
      <w:r>
        <w:rPr>
          <w:b w:val="0"/>
          <w:i w:val="0"/>
          <w:sz w:val="22"/>
        </w:rPr>
        <w:t xml:space="preserve"> é dono de Cobrança, Transação, Conciliação e Estorno. Quando um domínio precisa de informação de outro, a troca deve acontecer por API ou evento, e não por acesso direto ao banco vizinho.</w:t>
      </w:r>
    </w:p>
    <w:p>
      <w:r>
        <w:rPr>
          <w:b w:val="0"/>
          <w:i w:val="0"/>
          <w:sz w:val="22"/>
        </w:rPr>
        <w:t xml:space="preserve">No sistema atual existem formas diferentes de persistência que serão gradualmente substituídas ou reposicionadas durante a migração: o Web Servlet/JSP utiliza </w:t>
      </w:r>
      <w:r>
        <w:rPr>
          <w:rFonts w:ascii="Consolas" w:hAnsi="Consolas"/>
          <w:b w:val="0"/>
          <w:i w:val="0"/>
          <w:color w:val="8B1A3A"/>
          <w:sz w:val="21"/>
        </w:rPr>
        <w:t>Web/src/main/java/br/com/fiap/vinheriaagnello/repository/InMemoryDatabase.java</w:t>
      </w:r>
      <w:r>
        <w:rPr>
          <w:b w:val="0"/>
          <w:i w:val="0"/>
          <w:sz w:val="22"/>
        </w:rPr>
        <w:t xml:space="preserve">, a API .NET de estoque possui seu próprio SQLite configurado em </w:t>
      </w:r>
      <w:r>
        <w:rPr>
          <w:rFonts w:ascii="Consolas" w:hAnsi="Consolas"/>
          <w:b w:val="0"/>
          <w:i w:val="0"/>
          <w:color w:val="8B1A3A"/>
          <w:sz w:val="21"/>
        </w:rPr>
        <w:t>Web/src/VinheriaAgnello.Server/src/VinheriaAgnello.API/appsettings.json</w:t>
      </w:r>
      <w:r>
        <w:rPr>
          <w:b w:val="0"/>
          <w:i w:val="0"/>
          <w:sz w:val="22"/>
        </w:rPr>
        <w:t xml:space="preserve"> e mapeado por </w:t>
      </w:r>
      <w:r>
        <w:rPr>
          <w:rFonts w:ascii="Consolas" w:hAnsi="Consolas"/>
          <w:b w:val="0"/>
          <w:i w:val="0"/>
          <w:color w:val="8B1A3A"/>
          <w:sz w:val="21"/>
        </w:rPr>
        <w:t>Web/src/VinheriaAgnello.Server/src/VinheriaAgnello.Infrastructure/Data/AppDbContext.cs</w:t>
      </w:r>
      <w:r>
        <w:rPr>
          <w:b w:val="0"/>
          <w:i w:val="0"/>
          <w:sz w:val="22"/>
        </w:rPr>
        <w:t xml:space="preserve">, e o aplicativo Android utiliza Room em </w:t>
      </w:r>
      <w:r>
        <w:rPr>
          <w:rFonts w:ascii="Consolas" w:hAnsi="Consolas"/>
          <w:b w:val="0"/>
          <w:i w:val="0"/>
          <w:color w:val="8B1A3A"/>
          <w:sz w:val="21"/>
        </w:rPr>
        <w:t>Mobile/app/src/main/java/com/example/myapplication/data/local/</w:t>
      </w:r>
      <w:r>
        <w:rPr>
          <w:b w:val="0"/>
          <w:i w:val="0"/>
          <w:sz w:val="22"/>
        </w:rPr>
        <w:t>.</w:t>
      </w:r>
    </w:p>
    <w:p>
      <w:r>
        <w:rPr>
          <w:b/>
          <w:i w:val="0"/>
          <w:sz w:val="22"/>
        </w:rPr>
        <w:t>Trade-off/limitação →</w:t>
      </w:r>
      <w:r>
        <w:rPr>
          <w:b w:val="0"/>
          <w:i w:val="0"/>
          <w:sz w:val="22"/>
        </w:rPr>
        <w:t xml:space="preserve"> Consultas que antes poderiam ser resolvidas diretamente em um banco deixam de poder fazer </w:t>
      </w:r>
      <w:r>
        <w:rPr>
          <w:rFonts w:ascii="Consolas" w:hAnsi="Consolas"/>
          <w:b w:val="0"/>
          <w:i w:val="0"/>
          <w:color w:val="8B1A3A"/>
          <w:sz w:val="21"/>
        </w:rPr>
        <w:t>JOIN</w:t>
      </w:r>
      <w:r>
        <w:rPr>
          <w:b w:val="0"/>
          <w:i w:val="0"/>
          <w:sz w:val="22"/>
        </w:rPr>
        <w:t xml:space="preserve"> entre domínios. Dados cruzados passam a ser obtidos por APIs, eventos ou projeções de leitura, como ocorre no </w:t>
      </w:r>
      <w:r>
        <w:rPr>
          <w:rFonts w:ascii="Consolas" w:hAnsi="Consolas"/>
          <w:b w:val="0"/>
          <w:i w:val="0"/>
          <w:color w:val="8B1A3A"/>
          <w:sz w:val="21"/>
        </w:rPr>
        <w:t>ms-analytics</w:t>
      </w:r>
      <w:r>
        <w:rPr>
          <w:b w:val="0"/>
          <w:i w:val="0"/>
          <w:sz w:val="22"/>
        </w:rPr>
        <w:t>. Isso aumenta a complexidade da integração e pode introduzir consistência eventual entre diferentes serviços.</w:t>
      </w:r>
    </w:p>
    <w:p>
      <w:pPr>
        <w:pStyle w:val="Heading3"/>
      </w:pPr>
      <w:r>
        <w:rPr>
          <w:b w:val="0"/>
          <w:i w:val="0"/>
          <w:sz w:val="22"/>
        </w:rPr>
        <w:t>3.1.4 Saga Pattern</w:t>
      </w:r>
    </w:p>
    <w:p>
      <w:r>
        <w:rPr>
          <w:b/>
          <w:i w:val="0"/>
          <w:sz w:val="22"/>
        </w:rPr>
        <w:t>O que resolve →</w:t>
      </w:r>
      <w:r>
        <w:rPr>
          <w:b w:val="0"/>
          <w:i w:val="0"/>
          <w:sz w:val="22"/>
        </w:rPr>
        <w:t xml:space="preserve"> O Saga Pattern coordena uma operação de negócio que atravessa vários microsserviços sem depender de uma única transação distribuída. Cada serviço executa sua própria transação local e, quando alguma etapa falha, o fluxo precisa executar ações compensatórias para desfazer ou neutralizar o que já havia sido realizado.</w:t>
      </w:r>
    </w:p>
    <w:p>
      <w:r>
        <w:rPr>
          <w:b/>
          <w:i w:val="0"/>
          <w:sz w:val="22"/>
        </w:rPr>
        <w:t>Como aparece no nosso sistema →</w:t>
      </w:r>
      <w:r>
        <w:rPr>
          <w:b w:val="0"/>
          <w:i w:val="0"/>
          <w:sz w:val="22"/>
        </w:rPr>
        <w:t xml:space="preserve"> O fluxo de compra da Vinheria utiliza eventos no Apache Kafka. O </w:t>
      </w:r>
      <w:r>
        <w:rPr>
          <w:rFonts w:ascii="Consolas" w:hAnsi="Consolas"/>
          <w:b w:val="0"/>
          <w:i w:val="0"/>
          <w:color w:val="8B1A3A"/>
          <w:sz w:val="21"/>
        </w:rPr>
        <w:t>ms-pedidos</w:t>
      </w:r>
      <w:r>
        <w:rPr>
          <w:b w:val="0"/>
          <w:i w:val="0"/>
          <w:sz w:val="22"/>
        </w:rPr>
        <w:t xml:space="preserve"> publica </w:t>
      </w:r>
      <w:r>
        <w:rPr>
          <w:rFonts w:ascii="Consolas" w:hAnsi="Consolas"/>
          <w:b w:val="0"/>
          <w:i w:val="0"/>
          <w:color w:val="8B1A3A"/>
          <w:sz w:val="21"/>
        </w:rPr>
        <w:t>pedido.criado</w:t>
      </w:r>
      <w:r>
        <w:rPr>
          <w:b w:val="0"/>
          <w:i w:val="0"/>
          <w:sz w:val="22"/>
        </w:rPr>
        <w:t xml:space="preserve">; o </w:t>
      </w:r>
      <w:r>
        <w:rPr>
          <w:rFonts w:ascii="Consolas" w:hAnsi="Consolas"/>
          <w:b w:val="0"/>
          <w:i w:val="0"/>
          <w:color w:val="8B1A3A"/>
          <w:sz w:val="21"/>
        </w:rPr>
        <w:t>ms-estoque</w:t>
      </w:r>
      <w:r>
        <w:rPr>
          <w:b w:val="0"/>
          <w:i w:val="0"/>
          <w:sz w:val="22"/>
        </w:rPr>
        <w:t xml:space="preserve"> consome esse evento, realiza a reserva e publica </w:t>
      </w:r>
      <w:r>
        <w:rPr>
          <w:rFonts w:ascii="Consolas" w:hAnsi="Consolas"/>
          <w:b w:val="0"/>
          <w:i w:val="0"/>
          <w:color w:val="8B1A3A"/>
          <w:sz w:val="21"/>
        </w:rPr>
        <w:t>estoque.reservado</w:t>
      </w:r>
      <w:r>
        <w:rPr>
          <w:b w:val="0"/>
          <w:i w:val="0"/>
          <w:sz w:val="22"/>
        </w:rPr>
        <w:t xml:space="preserve">; o </w:t>
      </w:r>
      <w:r>
        <w:rPr>
          <w:rFonts w:ascii="Consolas" w:hAnsi="Consolas"/>
          <w:b w:val="0"/>
          <w:i w:val="0"/>
          <w:color w:val="8B1A3A"/>
          <w:sz w:val="21"/>
        </w:rPr>
        <w:t>ms-pagamentos</w:t>
      </w:r>
      <w:r>
        <w:rPr>
          <w:b w:val="0"/>
          <w:i w:val="0"/>
          <w:sz w:val="22"/>
        </w:rPr>
        <w:t xml:space="preserve"> processa a cobrança e publica </w:t>
      </w:r>
      <w:r>
        <w:rPr>
          <w:rFonts w:ascii="Consolas" w:hAnsi="Consolas"/>
          <w:b w:val="0"/>
          <w:i w:val="0"/>
          <w:color w:val="8B1A3A"/>
          <w:sz w:val="21"/>
        </w:rPr>
        <w:t>pagamento.aprovado</w:t>
      </w:r>
      <w:r>
        <w:rPr>
          <w:b w:val="0"/>
          <w:i w:val="0"/>
          <w:sz w:val="22"/>
        </w:rPr>
        <w:t xml:space="preserve"> ou </w:t>
      </w:r>
      <w:r>
        <w:rPr>
          <w:rFonts w:ascii="Consolas" w:hAnsi="Consolas"/>
          <w:b w:val="0"/>
          <w:i w:val="0"/>
          <w:color w:val="8B1A3A"/>
          <w:sz w:val="21"/>
        </w:rPr>
        <w:t>pagamento.recusado</w:t>
      </w:r>
      <w:r>
        <w:rPr>
          <w:b w:val="0"/>
          <w:i w:val="0"/>
          <w:sz w:val="22"/>
        </w:rPr>
        <w:t>. Em caso de aprovação, o pedido segue para confirmação e baixa definitiva do estoque. Em caso de recusa, o pedido é cancelado e a reserva precisa ser liberada, funcionando como compensação da etapa já executada.</w:t>
      </w:r>
    </w:p>
    <w:p>
      <w:pPr>
        <w:pStyle w:val="Heading4"/>
      </w:pPr>
      <w:r>
        <w:rPr>
          <w:b w:val="0"/>
          <w:i w:val="0"/>
          <w:sz w:val="22"/>
        </w:rPr>
        <w:t>3.1.4.1 Coreografia x orquestração</w:t>
      </w:r>
    </w:p>
    <w:p>
      <w:r>
        <w:rPr>
          <w:b w:val="0"/>
          <w:i w:val="0"/>
          <w:sz w:val="22"/>
        </w:rPr>
        <w:t xml:space="preserve">Na </w:t>
      </w:r>
      <w:r>
        <w:rPr>
          <w:b/>
          <w:i w:val="0"/>
          <w:sz w:val="22"/>
        </w:rPr>
        <w:t>orquestração</w:t>
      </w:r>
      <w:r>
        <w:rPr>
          <w:b w:val="0"/>
          <w:i w:val="0"/>
          <w:sz w:val="22"/>
        </w:rPr>
        <w:t>, existiria um coordenador central responsável por determinar a próxima etapa da saga. Isso facilita acompanhar o fluxo em um único ponto, mas cria um componente adicional que conhece a sequência completa da operação.</w:t>
      </w:r>
    </w:p>
    <w:p>
      <w:r>
        <w:rPr>
          <w:b w:val="0"/>
          <w:i w:val="0"/>
          <w:sz w:val="22"/>
        </w:rPr>
        <w:t xml:space="preserve">Na </w:t>
      </w:r>
      <w:r>
        <w:rPr>
          <w:b/>
          <w:i w:val="0"/>
          <w:sz w:val="22"/>
        </w:rPr>
        <w:t>coreografia</w:t>
      </w:r>
      <w:r>
        <w:rPr>
          <w:b w:val="0"/>
          <w:i w:val="0"/>
          <w:sz w:val="22"/>
        </w:rPr>
        <w:t>, cada serviço reage aos eventos publicados pelos demais. O fluxo fica mais desacoplado, porque os participantes não dependem de um coordenador central, porém o comportamento completo fica distribuído entre vários produtores e consumidores de eventos.</w:t>
      </w:r>
    </w:p>
    <w:p>
      <w:pPr>
        <w:pStyle w:val="Heading4"/>
      </w:pPr>
      <w:r>
        <w:rPr>
          <w:b w:val="0"/>
          <w:i w:val="0"/>
          <w:sz w:val="22"/>
        </w:rPr>
        <w:t>3.1.4.2 Escolha para a Vinheria</w:t>
      </w:r>
    </w:p>
    <w:p>
      <w:r>
        <w:rPr>
          <w:b w:val="0"/>
          <w:i w:val="0"/>
          <w:sz w:val="22"/>
        </w:rPr>
        <w:t xml:space="preserve">Para a arquitetura desenhada, a escolha é </w:t>
      </w:r>
      <w:r>
        <w:rPr>
          <w:b/>
          <w:i w:val="0"/>
          <w:sz w:val="22"/>
        </w:rPr>
        <w:t>Saga por coreografia</w:t>
      </w:r>
      <w:r>
        <w:rPr>
          <w:b w:val="0"/>
          <w:i w:val="0"/>
          <w:sz w:val="22"/>
        </w:rPr>
        <w:t xml:space="preserve">. A seção 2 representa o fluxo de compra como uma sequência de eventos no Kafka entre </w:t>
      </w:r>
      <w:r>
        <w:rPr>
          <w:rFonts w:ascii="Consolas" w:hAnsi="Consolas"/>
          <w:b w:val="0"/>
          <w:i w:val="0"/>
          <w:color w:val="8B1A3A"/>
          <w:sz w:val="21"/>
        </w:rPr>
        <w:t>ms-pedidos</w:t>
      </w:r>
      <w:r>
        <w:rPr>
          <w:b w:val="0"/>
          <w:i w:val="0"/>
          <w:sz w:val="22"/>
        </w:rPr>
        <w:t xml:space="preserve">, </w:t>
      </w:r>
      <w:r>
        <w:rPr>
          <w:rFonts w:ascii="Consolas" w:hAnsi="Consolas"/>
          <w:b w:val="0"/>
          <w:i w:val="0"/>
          <w:color w:val="8B1A3A"/>
          <w:sz w:val="21"/>
        </w:rPr>
        <w:t>ms-estoque</w:t>
      </w:r>
      <w:r>
        <w:rPr>
          <w:b w:val="0"/>
          <w:i w:val="0"/>
          <w:sz w:val="22"/>
        </w:rPr>
        <w:t xml:space="preserve"> e </w:t>
      </w:r>
      <w:r>
        <w:rPr>
          <w:rFonts w:ascii="Consolas" w:hAnsi="Consolas"/>
          <w:b w:val="0"/>
          <w:i w:val="0"/>
          <w:color w:val="8B1A3A"/>
          <w:sz w:val="21"/>
        </w:rPr>
        <w:t>ms-pagamentos</w:t>
      </w:r>
      <w:r>
        <w:rPr>
          <w:b w:val="0"/>
          <w:i w:val="0"/>
          <w:sz w:val="22"/>
        </w:rPr>
        <w:t>, e não apresenta um serviço separado atuando como orquestrador. A tabela de tópicos também mostra cada participante publicando o resultado de sua etapa para que o próximo consumidor reaja.</w:t>
      </w:r>
    </w:p>
    <w:p>
      <w:r>
        <w:rPr>
          <w:b/>
          <w:i w:val="0"/>
          <w:sz w:val="22"/>
        </w:rPr>
        <w:t>Trade-off/limitação →</w:t>
      </w:r>
      <w:r>
        <w:rPr>
          <w:b w:val="0"/>
          <w:i w:val="0"/>
          <w:sz w:val="22"/>
        </w:rPr>
        <w:t xml:space="preserve"> A coreografia reduz o acoplamento direto, mas torna mais difícil enxergar e depurar o fluxo completo, porque o estado da operação fica distribuído entre vários serviços e eventos. Também exige atenção às compensações e às situações em que um consumidor esteja temporariamente indisponível.</w:t>
      </w:r>
    </w:p>
    <w:p>
      <w:pPr>
        <w:pStyle w:val="Heading2"/>
      </w:pPr>
      <w:r>
        <w:rPr>
          <w:b w:val="0"/>
          <w:i w:val="0"/>
          <w:sz w:val="22"/>
        </w:rPr>
        <w:t>3.2 Padrões adicionais</w:t>
      </w:r>
    </w:p>
    <w:p>
      <w:r>
        <w:rPr>
          <w:b w:val="0"/>
          <w:i w:val="0"/>
          <w:sz w:val="22"/>
        </w:rPr>
        <w:t>Os padrões abaixo foram escolhidos entre os extras sugeridos na atividade porque aparecem de forma explícita na arquitetura da seção 2. Outros padrões possíveis não foram incluídos apenas por quantidade, para manter a entrega consistente com o diagrama.</w:t>
      </w:r>
    </w:p>
    <w:p>
      <w:pPr>
        <w:pStyle w:val="Heading3"/>
      </w:pPr>
      <w:r>
        <w:rPr>
          <w:b w:val="0"/>
          <w:i w:val="0"/>
          <w:sz w:val="22"/>
        </w:rPr>
        <w:t>3.2.1 Strangler Fig Pattern</w:t>
      </w:r>
    </w:p>
    <w:p>
      <w:r>
        <w:rPr>
          <w:b/>
          <w:i w:val="0"/>
          <w:sz w:val="22"/>
        </w:rPr>
        <w:t>O que resolve →</w:t>
      </w:r>
      <w:r>
        <w:rPr>
          <w:b w:val="0"/>
          <w:i w:val="0"/>
          <w:sz w:val="22"/>
        </w:rPr>
        <w:t xml:space="preserve"> O Strangler Fig permite migrar gradualmente um sistema legado para uma nova arquitetura, sem exigir que todo o monolito seja substituído de uma única vez. Novos domínios passam a ser atendidos pelos microsserviços enquanto o restante continua temporariamente no sistema atual.</w:t>
      </w:r>
    </w:p>
    <w:p>
      <w:r>
        <w:rPr>
          <w:b/>
          <w:i w:val="0"/>
          <w:sz w:val="22"/>
        </w:rPr>
        <w:t>Como aparece no nosso sistema →</w:t>
      </w:r>
      <w:r>
        <w:rPr>
          <w:b w:val="0"/>
          <w:i w:val="0"/>
          <w:sz w:val="22"/>
        </w:rPr>
        <w:t xml:space="preserve"> O diagrama mantém o sistema atual atrás do API Gateway. As rotas ainda não extraídas continuam indo para o Web Servlet/JSP em </w:t>
      </w:r>
      <w:r>
        <w:rPr>
          <w:rFonts w:ascii="Consolas" w:hAnsi="Consolas"/>
          <w:b w:val="0"/>
          <w:i w:val="0"/>
          <w:color w:val="8B1A3A"/>
          <w:sz w:val="21"/>
        </w:rPr>
        <w:t>Web/src/main/java/br/com/fiap/vinheriaagnello/</w:t>
      </w:r>
      <w:r>
        <w:rPr>
          <w:b w:val="0"/>
          <w:i w:val="0"/>
          <w:sz w:val="22"/>
        </w:rPr>
        <w:t xml:space="preserve"> e para a API .NET em </w:t>
      </w:r>
      <w:r>
        <w:rPr>
          <w:rFonts w:ascii="Consolas" w:hAnsi="Consolas"/>
          <w:b w:val="0"/>
          <w:i w:val="0"/>
          <w:color w:val="8B1A3A"/>
          <w:sz w:val="21"/>
        </w:rPr>
        <w:t>Web/src/VinheriaAgnello.Server/</w:t>
      </w:r>
      <w:r>
        <w:rPr>
          <w:b w:val="0"/>
          <w:i w:val="0"/>
          <w:sz w:val="22"/>
        </w:rPr>
        <w:t xml:space="preserve">. A extração planejada começa pela API .NET de estoque, que serve como embrião do </w:t>
      </w:r>
      <w:r>
        <w:rPr>
          <w:rFonts w:ascii="Consolas" w:hAnsi="Consolas"/>
          <w:b w:val="0"/>
          <w:i w:val="0"/>
          <w:color w:val="8B1A3A"/>
          <w:sz w:val="21"/>
        </w:rPr>
        <w:t>ms-estoque</w:t>
      </w:r>
      <w:r>
        <w:rPr>
          <w:b w:val="0"/>
          <w:i w:val="0"/>
          <w:sz w:val="22"/>
        </w:rPr>
        <w:t xml:space="preserve">, e depois segue para catálogo e clientes, atendidos futuramente por </w:t>
      </w:r>
      <w:r>
        <w:rPr>
          <w:rFonts w:ascii="Consolas" w:hAnsi="Consolas"/>
          <w:b w:val="0"/>
          <w:i w:val="0"/>
          <w:color w:val="8B1A3A"/>
          <w:sz w:val="21"/>
        </w:rPr>
        <w:t>ms-catalogo</w:t>
      </w:r>
      <w:r>
        <w:rPr>
          <w:b w:val="0"/>
          <w:i w:val="0"/>
          <w:sz w:val="22"/>
        </w:rPr>
        <w:t xml:space="preserve"> e </w:t>
      </w:r>
      <w:r>
        <w:rPr>
          <w:rFonts w:ascii="Consolas" w:hAnsi="Consolas"/>
          <w:b w:val="0"/>
          <w:i w:val="0"/>
          <w:color w:val="8B1A3A"/>
          <w:sz w:val="21"/>
        </w:rPr>
        <w:t>ms-clientes</w:t>
      </w:r>
      <w:r>
        <w:rPr>
          <w:b w:val="0"/>
          <w:i w:val="0"/>
          <w:sz w:val="22"/>
        </w:rPr>
        <w:t>.</w:t>
      </w:r>
    </w:p>
    <w:p>
      <w:r>
        <w:rPr>
          <w:b/>
          <w:i w:val="0"/>
          <w:sz w:val="22"/>
        </w:rPr>
        <w:t>Trade-off/limitação →</w:t>
      </w:r>
      <w:r>
        <w:rPr>
          <w:b w:val="0"/>
          <w:i w:val="0"/>
          <w:sz w:val="22"/>
        </w:rPr>
        <w:t xml:space="preserve"> Durante a transição, a equipe precisa manter temporariamente o legado e os novos microsserviços ao mesmo tempo. Isso aumenta a complexidade de roteamento, testes, observabilidade e manutenção até que todos os domínios previstos sejam extraídos.</w:t>
      </w:r>
    </w:p>
    <w:p>
      <w:pPr>
        <w:pStyle w:val="Heading3"/>
      </w:pPr>
      <w:r>
        <w:rPr>
          <w:b w:val="0"/>
          <w:i w:val="0"/>
          <w:sz w:val="22"/>
        </w:rPr>
        <w:t>3.2.2 Cache (Redis) + API Composition</w:t>
      </w:r>
    </w:p>
    <w:p>
      <w:r>
        <w:rPr>
          <w:b/>
          <w:i w:val="0"/>
          <w:sz w:val="22"/>
        </w:rPr>
        <w:t>O que resolve →</w:t>
      </w:r>
      <w:r>
        <w:rPr>
          <w:b w:val="0"/>
          <w:i w:val="0"/>
          <w:sz w:val="22"/>
        </w:rPr>
        <w:t xml:space="preserve"> O uso de cache reduz acessos repetidos a dados que podem ser reutilizados por um período curto, enquanto API Composition permite combinar respostas de mais de um serviço para atender um cliente sem obrigá-lo a realizar várias chamadas diretamente.</w:t>
      </w:r>
    </w:p>
    <w:p>
      <w:r>
        <w:rPr>
          <w:b/>
          <w:i w:val="0"/>
          <w:sz w:val="22"/>
        </w:rPr>
        <w:t>Como aparece no nosso sistema →</w:t>
      </w:r>
      <w:r>
        <w:rPr>
          <w:b w:val="0"/>
          <w:i w:val="0"/>
          <w:sz w:val="22"/>
        </w:rPr>
        <w:t xml:space="preserve"> O Redis aparece como componente transversal da arquitetura. Na seção 2, ele é usado como cache do </w:t>
      </w:r>
      <w:r>
        <w:rPr>
          <w:rFonts w:ascii="Consolas" w:hAnsi="Consolas"/>
          <w:b w:val="0"/>
          <w:i w:val="0"/>
          <w:color w:val="8B1A3A"/>
          <w:sz w:val="21"/>
        </w:rPr>
        <w:t>ms-catalogo</w:t>
      </w:r>
      <w:r>
        <w:rPr>
          <w:b w:val="0"/>
          <w:i w:val="0"/>
          <w:sz w:val="22"/>
        </w:rPr>
        <w:t xml:space="preserve">, com TTL de 60 segundos, e também pelos contadores de </w:t>
      </w:r>
      <w:r>
        <w:rPr>
          <w:b w:val="0"/>
          <w:i/>
          <w:sz w:val="22"/>
        </w:rPr>
        <w:t>rate limit</w:t>
      </w:r>
      <w:r>
        <w:rPr>
          <w:b w:val="0"/>
          <w:i w:val="0"/>
          <w:sz w:val="22"/>
        </w:rPr>
        <w:t xml:space="preserve"> do API Gateway. O gateway realiza agregação/BFF para o aplicativo mobile, compondo respostas sem expor diretamente a malha interna de serviços ao cliente.</w:t>
      </w:r>
    </w:p>
    <w:p>
      <w:r>
        <w:rPr>
          <w:b/>
          <w:i w:val="0"/>
          <w:sz w:val="22"/>
        </w:rPr>
        <w:t>Trade-off/limitação →</w:t>
      </w:r>
      <w:r>
        <w:rPr>
          <w:b w:val="0"/>
          <w:i w:val="0"/>
          <w:sz w:val="22"/>
        </w:rPr>
        <w:t xml:space="preserve"> O cache pode entregar dados temporariamente desatualizados até o vencimento ou a invalidação da entrada. A composição de respostas no gateway também aumenta a responsabilidade desse componente e pode elevar o tempo de resposta quando depende de vários serviços simultaneamente.</w:t>
      </w:r>
    </w:p>
    <w:p>
      <w:pPr>
        <w:pStyle w:val="Heading3"/>
      </w:pPr>
      <w:r>
        <w:rPr>
          <w:b w:val="0"/>
          <w:i w:val="0"/>
          <w:sz w:val="22"/>
        </w:rPr>
        <w:t>3.2.3 Service Mesh com mTLS</w:t>
      </w:r>
    </w:p>
    <w:p>
      <w:r>
        <w:rPr>
          <w:b/>
          <w:i w:val="0"/>
          <w:sz w:val="22"/>
        </w:rPr>
        <w:t>O que resolve →</w:t>
      </w:r>
      <w:r>
        <w:rPr>
          <w:b w:val="0"/>
          <w:i w:val="0"/>
          <w:sz w:val="22"/>
        </w:rPr>
        <w:t xml:space="preserve"> O Service Mesh centraliza preocupações da comunicação entre serviços, principalmente segurança do tráfego interno. O uso de mTLS permite que as duas pontas da comunicação se autentiquem mutuamente e que os dados trafeguem cifrados dentro da malha.</w:t>
      </w:r>
    </w:p>
    <w:p>
      <w:r>
        <w:rPr>
          <w:b/>
          <w:i w:val="0"/>
          <w:sz w:val="22"/>
        </w:rPr>
        <w:t>Como aparece no nosso sistema →</w:t>
      </w:r>
      <w:r>
        <w:rPr>
          <w:b w:val="0"/>
          <w:i w:val="0"/>
          <w:sz w:val="22"/>
        </w:rPr>
        <w:t xml:space="preserve"> A seção 2 representa um </w:t>
      </w:r>
      <w:r>
        <w:rPr>
          <w:b/>
          <w:i w:val="0"/>
          <w:sz w:val="22"/>
        </w:rPr>
        <w:t>Service mesh (mTLS)</w:t>
      </w:r>
      <w:r>
        <w:rPr>
          <w:b w:val="0"/>
          <w:i w:val="0"/>
          <w:sz w:val="22"/>
        </w:rPr>
        <w:t xml:space="preserve"> como componente transversal e informa que toda chamada interna da malha utiliza mTLS, com canal cifrado e rotação automática de certificados. Assim, comunicações entre serviços como </w:t>
      </w:r>
      <w:r>
        <w:rPr>
          <w:rFonts w:ascii="Consolas" w:hAnsi="Consolas"/>
          <w:b w:val="0"/>
          <w:i w:val="0"/>
          <w:color w:val="8B1A3A"/>
          <w:sz w:val="21"/>
        </w:rPr>
        <w:t>ms-pedidos</w:t>
      </w:r>
      <w:r>
        <w:rPr>
          <w:b w:val="0"/>
          <w:i w:val="0"/>
          <w:sz w:val="22"/>
        </w:rPr>
        <w:t xml:space="preserve">, </w:t>
      </w:r>
      <w:r>
        <w:rPr>
          <w:rFonts w:ascii="Consolas" w:hAnsi="Consolas"/>
          <w:b w:val="0"/>
          <w:i w:val="0"/>
          <w:color w:val="8B1A3A"/>
          <w:sz w:val="21"/>
        </w:rPr>
        <w:t>ms-estoque</w:t>
      </w:r>
      <w:r>
        <w:rPr>
          <w:b w:val="0"/>
          <w:i w:val="0"/>
          <w:sz w:val="22"/>
        </w:rPr>
        <w:t xml:space="preserve">, </w:t>
      </w:r>
      <w:r>
        <w:rPr>
          <w:rFonts w:ascii="Consolas" w:hAnsi="Consolas"/>
          <w:b w:val="0"/>
          <w:i w:val="0"/>
          <w:color w:val="8B1A3A"/>
          <w:sz w:val="21"/>
        </w:rPr>
        <w:t>ms-pagamentos</w:t>
      </w:r>
      <w:r>
        <w:rPr>
          <w:b w:val="0"/>
          <w:i w:val="0"/>
          <w:sz w:val="22"/>
        </w:rPr>
        <w:t xml:space="preserve">, </w:t>
      </w:r>
      <w:r>
        <w:rPr>
          <w:rFonts w:ascii="Consolas" w:hAnsi="Consolas"/>
          <w:b w:val="0"/>
          <w:i w:val="0"/>
          <w:color w:val="8B1A3A"/>
          <w:sz w:val="21"/>
        </w:rPr>
        <w:t>ms-clientes</w:t>
      </w:r>
      <w:r>
        <w:rPr>
          <w:b w:val="0"/>
          <w:i w:val="0"/>
          <w:sz w:val="22"/>
        </w:rPr>
        <w:t xml:space="preserve"> e os demais participantes não dependem apenas da proteção aplicada na borda pelo API Gateway. A política de certificados e de identidade entre serviços é detalhada na seção 5.3.4; neste item o </w:t>
      </w:r>
      <w:r>
        <w:rPr>
          <w:b w:val="0"/>
          <w:i/>
          <w:sz w:val="22"/>
        </w:rPr>
        <w:t>service mesh</w:t>
      </w:r>
      <w:r>
        <w:rPr>
          <w:b w:val="0"/>
          <w:i w:val="0"/>
          <w:sz w:val="22"/>
        </w:rPr>
        <w:t xml:space="preserve"> é justificado como decisão de arquitetura, sem repetir o texto daquela seção.</w:t>
      </w:r>
    </w:p>
    <w:p>
      <w:r>
        <w:rPr>
          <w:b/>
          <w:i w:val="0"/>
          <w:sz w:val="22"/>
        </w:rPr>
        <w:t>Trade-off/limitação →</w:t>
      </w:r>
      <w:r>
        <w:rPr>
          <w:b w:val="0"/>
          <w:i w:val="0"/>
          <w:sz w:val="22"/>
        </w:rPr>
        <w:t xml:space="preserve"> O service mesh adiciona complexidade operacional à plataforma, pois exige gerenciamento dos componentes da malha, certificados, políticas e observabilidade. Também adiciona uma camada extra ao caminho de comunicação, que precisa ser corretamente configurada e monitorada para não dificultar o diagnóstico de falhas.</w:t>
      </w:r>
    </w:p>
    <w:p>
      <w:pPr>
        <w:pStyle w:val="Heading2"/>
      </w:pPr>
      <w:r>
        <w:rPr>
          <w:b w:val="0"/>
          <w:i w:val="0"/>
          <w:sz w:val="22"/>
        </w:rPr>
        <w:t>3.3 Padrões avaliados e não incluídos nesta versão</w:t>
      </w:r>
    </w:p>
    <w:p>
      <w:r>
        <w:rPr>
          <w:b w:val="0"/>
          <w:i w:val="0"/>
          <w:sz w:val="22"/>
        </w:rPr>
        <w:t>A atividade sugere outros padrões que poderiam fortalecer a arquitetura, como Circuit Breaker, Retry com backoff, Bulkhead, Transactional Outbox, Idempotent Consumer e CQRS. Eles não entram nesta lista por dois motivos distintos, que não devem ser confundidos:</w:t>
      </w:r>
    </w:p>
    <w:p>
      <w:pPr>
        <w:pStyle w:val="ListBullet"/>
      </w:pPr>
      <w:r>
        <w:rPr>
          <w:b/>
          <w:i w:val="0"/>
          <w:sz w:val="22"/>
        </w:rPr>
        <w:t>Circuit Breaker, Retry com backoff, Bulkhead, dead letter queue e idempotência no consumidor estão na arquitetura</w:t>
      </w:r>
      <w:r>
        <w:rPr>
          <w:b w:val="0"/>
          <w:i w:val="0"/>
          <w:sz w:val="22"/>
        </w:rPr>
        <w:t xml:space="preserve"> — são tratados como </w:t>
      </w:r>
      <w:r>
        <w:rPr>
          <w:b/>
          <w:i w:val="0"/>
          <w:sz w:val="22"/>
        </w:rPr>
        <w:t>políticas de resiliência</w:t>
      </w:r>
      <w:r>
        <w:rPr>
          <w:b w:val="0"/>
          <w:i w:val="0"/>
          <w:sz w:val="22"/>
        </w:rPr>
        <w:t xml:space="preserve"> na seção 5.6, com parâmetros definidos (janela de erro, número de tentativas, retenção da DLQ). Aqui não são repetidos para não duplicar texto entre as seções do mesmo documento: a seção 3 justifica o padrão, a seção 5 detalha a política.</w:t>
      </w:r>
    </w:p>
    <w:p>
      <w:pPr>
        <w:pStyle w:val="ListBullet"/>
      </w:pPr>
      <w:r>
        <w:rPr>
          <w:b/>
          <w:i w:val="0"/>
          <w:sz w:val="22"/>
        </w:rPr>
        <w:t>CQRS e Transactional Outbox continuam fora</w:t>
      </w:r>
      <w:r>
        <w:rPr>
          <w:b w:val="0"/>
          <w:i w:val="0"/>
          <w:sz w:val="22"/>
        </w:rPr>
        <w:t xml:space="preserve"> porque não existem no desenho da seção 2: não há read model de catálogo nem tabela de </w:t>
      </w:r>
      <w:r>
        <w:rPr>
          <w:b w:val="0"/>
          <w:i/>
          <w:sz w:val="22"/>
        </w:rPr>
        <w:t>outbox</w:t>
      </w:r>
      <w:r>
        <w:rPr>
          <w:b w:val="0"/>
          <w:i w:val="0"/>
          <w:sz w:val="22"/>
        </w:rPr>
        <w:t xml:space="preserve"> representados. Se entrarem na seção 2 antes da consolidação, esta seção é revista; caso contrário, citá-los aqui seria justificar um padrão que o diagrama não sustenta.</w:t>
      </w:r>
    </w:p>
    <w:p>
      <w:r>
        <w:rPr>
          <w:b w:val="0"/>
          <w:i w:val="0"/>
          <w:sz w:val="22"/>
        </w:rPr>
        <w:t xml:space="preserve">O critério que vale para os </w:t>
      </w:r>
      <w:r>
        <w:rPr>
          <w:b/>
          <w:i w:val="0"/>
          <w:sz w:val="22"/>
        </w:rPr>
        <w:t>padrões de arquitetura</w:t>
      </w:r>
      <w:r>
        <w:rPr>
          <w:b w:val="0"/>
          <w:i w:val="0"/>
          <w:sz w:val="22"/>
        </w:rPr>
        <w:t xml:space="preserve"> desta entrega continua sendo o do diagrama: só entra o que tem representação explícita ou suporte direto na seção 2. O que muda na redação é não tratar os itens acima como se estivessem fora da arquitetura — os de resiliência estão nela, descritos na parte da seção 5 que é dona desse assunto.</w:t>
      </w:r>
    </w:p>
    <w:p>
      <w:pPr>
        <w:pStyle w:val="Heading2"/>
      </w:pPr>
      <w:r>
        <w:rPr>
          <w:b w:val="0"/>
          <w:i w:val="0"/>
          <w:sz w:val="22"/>
        </w:rPr>
        <w:t>3.4 Conferência dos critérios de aceite</w:t>
      </w:r>
    </w:p>
    <w:p>
      <w:pPr>
        <w:keepNext/>
        <w:spacing w:after="60" w:before="0"/>
        <w:jc w:val="left"/>
      </w:pPr>
      <w:r>
        <w:rPr>
          <w:b w:val="0"/>
          <w:i/>
          <w:color w:val="595959"/>
          <w:sz w:val="19"/>
        </w:rPr>
        <w:t>Tabela 10 — Conferência dos critérios do item 3</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819"/>
            <w:shd w:val="clear" w:fill="F4E7EB"/>
          </w:tcPr>
          <w:p>
            <w:pPr>
              <w:spacing w:after="0"/>
              <w:jc w:val="left"/>
            </w:pPr>
            <w:r>
              <w:rPr>
                <w:b/>
              </w:rPr>
            </w:r>
            <w:r>
              <w:rPr>
                <w:b/>
                <w:i w:val="0"/>
                <w:sz w:val="19"/>
              </w:rPr>
              <w:t>Critério do item 3 da atividade</w:t>
            </w:r>
          </w:p>
        </w:tc>
        <w:tc>
          <w:tcPr>
            <w:tcW w:type="dxa" w:w="4819"/>
            <w:shd w:val="clear" w:fill="F4E7EB"/>
          </w:tcPr>
          <w:p>
            <w:pPr>
              <w:spacing w:after="0"/>
              <w:jc w:val="left"/>
            </w:pPr>
            <w:r>
              <w:rPr>
                <w:b/>
              </w:rPr>
            </w:r>
            <w:r>
              <w:rPr>
                <w:b/>
                <w:i w:val="0"/>
                <w:sz w:val="19"/>
              </w:rPr>
              <w:t>Situação</w:t>
            </w:r>
          </w:p>
        </w:tc>
      </w:tr>
      <w:tr>
        <w:tc>
          <w:tcPr>
            <w:tcW w:type="dxa" w:w="4819"/>
          </w:tcPr>
          <w:p>
            <w:pPr>
              <w:spacing w:after="0" w:line="240" w:lineRule="auto"/>
              <w:jc w:val="left"/>
            </w:pPr>
            <w:r/>
            <w:r>
              <w:rPr>
                <w:b w:val="0"/>
                <w:i w:val="0"/>
                <w:sz w:val="19"/>
              </w:rPr>
              <w:t>Os 4 padrões obrigatórios têm justificativa com exemplo do sistema</w:t>
            </w:r>
          </w:p>
        </w:tc>
        <w:tc>
          <w:tcPr>
            <w:tcW w:type="dxa" w:w="4819"/>
          </w:tcPr>
          <w:p>
            <w:pPr>
              <w:spacing w:after="0" w:line="240" w:lineRule="auto"/>
              <w:jc w:val="left"/>
            </w:pPr>
            <w:r/>
            <w:r>
              <w:rPr>
                <w:b w:val="0"/>
                <w:i w:val="0"/>
                <w:sz w:val="19"/>
              </w:rPr>
              <w:t>Atendido: API Gateway, Service Discovery, Database per Service e Saga</w:t>
            </w:r>
          </w:p>
        </w:tc>
      </w:tr>
      <w:tr>
        <w:tc>
          <w:tcPr>
            <w:tcW w:type="dxa" w:w="4819"/>
          </w:tcPr>
          <w:p>
            <w:pPr>
              <w:spacing w:after="0" w:line="240" w:lineRule="auto"/>
              <w:jc w:val="left"/>
            </w:pPr>
            <w:r/>
            <w:r>
              <w:rPr>
                <w:b w:val="0"/>
                <w:i w:val="0"/>
                <w:sz w:val="19"/>
              </w:rPr>
              <w:t>Cada padrão cita ao menos um serviço pelo nome do diagrama</w:t>
            </w:r>
          </w:p>
        </w:tc>
        <w:tc>
          <w:tcPr>
            <w:tcW w:type="dxa" w:w="4819"/>
          </w:tcPr>
          <w:p>
            <w:pPr>
              <w:spacing w:after="0" w:line="240" w:lineRule="auto"/>
              <w:jc w:val="left"/>
            </w:pPr>
            <w:r/>
            <w:r>
              <w:rPr>
                <w:b w:val="0"/>
                <w:i w:val="0"/>
                <w:sz w:val="19"/>
              </w:rPr>
              <w:t>Atendido nos blocos correspondentes</w:t>
            </w:r>
          </w:p>
        </w:tc>
      </w:tr>
      <w:tr>
        <w:tc>
          <w:tcPr>
            <w:tcW w:type="dxa" w:w="4819"/>
          </w:tcPr>
          <w:p>
            <w:pPr>
              <w:spacing w:after="0" w:line="240" w:lineRule="auto"/>
              <w:jc w:val="left"/>
            </w:pPr>
            <w:r/>
            <w:r>
              <w:rPr>
                <w:b w:val="0"/>
                <w:i w:val="0"/>
                <w:sz w:val="19"/>
              </w:rPr>
              <w:t>Todo padrão apresenta trade-off ou limitação</w:t>
            </w:r>
          </w:p>
        </w:tc>
        <w:tc>
          <w:tcPr>
            <w:tcW w:type="dxa" w:w="4819"/>
          </w:tcPr>
          <w:p>
            <w:pPr>
              <w:spacing w:after="0" w:line="240" w:lineRule="auto"/>
              <w:jc w:val="left"/>
            </w:pPr>
            <w:r/>
            <w:r>
              <w:rPr>
                <w:b w:val="0"/>
                <w:i w:val="0"/>
                <w:sz w:val="19"/>
              </w:rPr>
              <w:t>Atendido em todos os 7 padrões</w:t>
            </w:r>
          </w:p>
        </w:tc>
      </w:tr>
      <w:tr>
        <w:tc>
          <w:tcPr>
            <w:tcW w:type="dxa" w:w="4819"/>
          </w:tcPr>
          <w:p>
            <w:pPr>
              <w:spacing w:after="0" w:line="240" w:lineRule="auto"/>
              <w:jc w:val="left"/>
            </w:pPr>
            <w:r/>
            <w:r>
              <w:rPr>
                <w:b w:val="0"/>
                <w:i w:val="0"/>
                <w:sz w:val="19"/>
              </w:rPr>
              <w:t>Saga compara coreografia e orquestração</w:t>
            </w:r>
          </w:p>
        </w:tc>
        <w:tc>
          <w:tcPr>
            <w:tcW w:type="dxa" w:w="4819"/>
          </w:tcPr>
          <w:p>
            <w:pPr>
              <w:spacing w:after="0" w:line="240" w:lineRule="auto"/>
              <w:jc w:val="left"/>
            </w:pPr>
            <w:r/>
            <w:r>
              <w:rPr>
                <w:b w:val="0"/>
                <w:i w:val="0"/>
                <w:sz w:val="19"/>
              </w:rPr>
              <w:t>Atendido na seção 3.1.4</w:t>
            </w:r>
          </w:p>
        </w:tc>
      </w:tr>
      <w:tr>
        <w:tc>
          <w:tcPr>
            <w:tcW w:type="dxa" w:w="4819"/>
          </w:tcPr>
          <w:p>
            <w:pPr>
              <w:spacing w:after="0" w:line="240" w:lineRule="auto"/>
              <w:jc w:val="left"/>
            </w:pPr>
            <w:r/>
            <w:r>
              <w:rPr>
                <w:b w:val="0"/>
                <w:i w:val="0"/>
                <w:sz w:val="19"/>
              </w:rPr>
              <w:t>Saga escolhe uma abordagem com argumento</w:t>
            </w:r>
          </w:p>
        </w:tc>
        <w:tc>
          <w:tcPr>
            <w:tcW w:type="dxa" w:w="4819"/>
          </w:tcPr>
          <w:p>
            <w:pPr>
              <w:spacing w:after="0" w:line="240" w:lineRule="auto"/>
              <w:jc w:val="left"/>
            </w:pPr>
            <w:r/>
            <w:r>
              <w:rPr>
                <w:b w:val="0"/>
                <w:i w:val="0"/>
                <w:sz w:val="19"/>
              </w:rPr>
              <w:t>Atendido: coreografia, por ser a abordagem representada na seção 2</w:t>
            </w:r>
          </w:p>
        </w:tc>
      </w:tr>
      <w:tr>
        <w:tc>
          <w:tcPr>
            <w:tcW w:type="dxa" w:w="4819"/>
          </w:tcPr>
          <w:p>
            <w:pPr>
              <w:spacing w:after="0" w:line="240" w:lineRule="auto"/>
              <w:jc w:val="left"/>
            </w:pPr>
            <w:r/>
            <w:r>
              <w:rPr>
                <w:b w:val="0"/>
                <w:i w:val="0"/>
                <w:sz w:val="19"/>
              </w:rPr>
              <w:t>Padrões extras aparecem no diagrama</w:t>
            </w:r>
          </w:p>
        </w:tc>
        <w:tc>
          <w:tcPr>
            <w:tcW w:type="dxa" w:w="4819"/>
          </w:tcPr>
          <w:p>
            <w:pPr>
              <w:spacing w:after="0" w:line="240" w:lineRule="auto"/>
              <w:jc w:val="left"/>
            </w:pPr>
            <w:r/>
            <w:r>
              <w:rPr>
                <w:b w:val="0"/>
                <w:i w:val="0"/>
                <w:sz w:val="19"/>
              </w:rPr>
              <w:t>Atendido: Strangler Fig, Redis/API Composition e Service Mesh com mTLS</w:t>
            </w:r>
          </w:p>
        </w:tc>
      </w:tr>
      <w:tr>
        <w:tc>
          <w:tcPr>
            <w:tcW w:type="dxa" w:w="4819"/>
          </w:tcPr>
          <w:p>
            <w:pPr>
              <w:spacing w:after="0" w:line="240" w:lineRule="auto"/>
              <w:jc w:val="left"/>
            </w:pPr>
            <w:r/>
            <w:r>
              <w:rPr>
                <w:b w:val="0"/>
                <w:i w:val="0"/>
                <w:sz w:val="19"/>
              </w:rPr>
              <w:t>Padrões de resiliência não duplicados entre as seções 3 e 5</w:t>
            </w:r>
          </w:p>
        </w:tc>
        <w:tc>
          <w:tcPr>
            <w:tcW w:type="dxa" w:w="4819"/>
          </w:tcPr>
          <w:p>
            <w:pPr>
              <w:spacing w:after="0" w:line="240" w:lineRule="auto"/>
              <w:jc w:val="left"/>
            </w:pPr>
            <w:r/>
            <w:r>
              <w:rPr>
                <w:b w:val="0"/>
                <w:i w:val="0"/>
                <w:sz w:val="19"/>
              </w:rPr>
              <w:t>Atendido: Circuit Breaker, Retry, Bulkhead, DLQ e idempotência ficam como política na seção 5.6 (seção 3.3)</w:t>
            </w:r>
          </w:p>
        </w:tc>
      </w:tr>
      <w:tr>
        <w:tc>
          <w:tcPr>
            <w:tcW w:type="dxa" w:w="4819"/>
          </w:tcPr>
          <w:p>
            <w:pPr>
              <w:spacing w:after="0" w:line="240" w:lineRule="auto"/>
              <w:jc w:val="left"/>
            </w:pPr>
            <w:r/>
            <w:r>
              <w:rPr>
                <w:b w:val="0"/>
                <w:i w:val="0"/>
                <w:sz w:val="19"/>
              </w:rPr>
              <w:t>Nomes dos serviços seguem o glossário congelado da seção 1</w:t>
            </w:r>
          </w:p>
        </w:tc>
        <w:tc>
          <w:tcPr>
            <w:tcW w:type="dxa" w:w="4819"/>
          </w:tcPr>
          <w:p>
            <w:pPr>
              <w:spacing w:after="0" w:line="240" w:lineRule="auto"/>
              <w:jc w:val="left"/>
            </w:pPr>
            <w:r/>
            <w:r>
              <w:rPr>
                <w:b w:val="0"/>
                <w:i w:val="0"/>
                <w:sz w:val="19"/>
              </w:rPr>
              <w:t>Atendido</w:t>
            </w:r>
          </w:p>
        </w:tc>
      </w:tr>
      <w:tr>
        <w:tc>
          <w:tcPr>
            <w:tcW w:type="dxa" w:w="4819"/>
          </w:tcPr>
          <w:p>
            <w:pPr>
              <w:spacing w:after="0" w:line="240" w:lineRule="auto"/>
              <w:jc w:val="left"/>
            </w:pPr>
            <w:r/>
            <w:r>
              <w:rPr>
                <w:b w:val="0"/>
                <w:i w:val="0"/>
                <w:sz w:val="19"/>
              </w:rPr>
              <w:t>Nenhum serviço novo foi inventado</w:t>
            </w:r>
          </w:p>
        </w:tc>
        <w:tc>
          <w:tcPr>
            <w:tcW w:type="dxa" w:w="4819"/>
          </w:tcPr>
          <w:p>
            <w:pPr>
              <w:spacing w:after="0" w:line="240" w:lineRule="auto"/>
              <w:jc w:val="left"/>
            </w:pPr>
            <w:r/>
            <w:r>
              <w:rPr>
                <w:b w:val="0"/>
                <w:i w:val="0"/>
                <w:sz w:val="19"/>
              </w:rPr>
              <w:t>Atendido</w:t>
            </w:r>
          </w:p>
        </w:tc>
      </w:tr>
    </w:tbl>
    <w:p>
      <w:pPr>
        <w:pStyle w:val="Heading2"/>
      </w:pPr>
      <w:r>
        <w:rPr>
          <w:b w:val="0"/>
          <w:i w:val="0"/>
          <w:sz w:val="22"/>
        </w:rPr>
        <w:t>3.5 Dependências e fronteiras com as outras partes</w:t>
      </w:r>
    </w:p>
    <w:p>
      <w:pPr>
        <w:pStyle w:val="ListBullet"/>
      </w:pPr>
      <w:r>
        <w:rPr>
          <w:b/>
          <w:i w:val="0"/>
          <w:sz w:val="22"/>
        </w:rPr>
        <w:t>seção 1 (Roger):</w:t>
      </w:r>
      <w:r>
        <w:rPr>
          <w:b w:val="0"/>
          <w:i w:val="0"/>
          <w:sz w:val="22"/>
        </w:rPr>
        <w:t xml:space="preserve"> fornece a lista congelada de serviços, responsabilidades e posse de dados usada principalmente no Database per Service.</w:t>
      </w:r>
    </w:p>
    <w:p>
      <w:pPr>
        <w:pStyle w:val="ListBullet"/>
      </w:pPr>
      <w:r>
        <w:rPr>
          <w:b/>
          <w:i w:val="0"/>
          <w:sz w:val="22"/>
        </w:rPr>
        <w:t>seção 2 (Kevin):</w:t>
      </w:r>
      <w:r>
        <w:rPr>
          <w:b w:val="0"/>
          <w:i w:val="0"/>
          <w:sz w:val="22"/>
        </w:rPr>
        <w:t xml:space="preserve"> fornece o desenho que valida quais padrões realmente aparecem na arquitetura.</w:t>
      </w:r>
    </w:p>
    <w:p>
      <w:pPr>
        <w:pStyle w:val="ListBullet"/>
      </w:pPr>
      <w:r>
        <w:rPr>
          <w:b/>
          <w:i w:val="0"/>
          <w:sz w:val="22"/>
        </w:rPr>
        <w:t>seção 4 (Arthur):</w:t>
      </w:r>
      <w:r>
        <w:rPr>
          <w:b w:val="0"/>
          <w:i w:val="0"/>
          <w:sz w:val="22"/>
        </w:rPr>
        <w:t xml:space="preserve"> detalha a comunicação entre serviços e o fluxo de mensagens. Nesta seção 3, a Saga é apresentada apenas como padrão arquitetural e justificada pelo seu propósito.</w:t>
      </w:r>
    </w:p>
    <w:p>
      <w:pPr>
        <w:pStyle w:val="ListBullet"/>
      </w:pPr>
      <w:r>
        <w:rPr>
          <w:b/>
          <w:i w:val="0"/>
          <w:sz w:val="22"/>
        </w:rPr>
        <w:t>seção 5 (Yasmin):</w:t>
      </w:r>
      <w:r>
        <w:rPr>
          <w:b w:val="0"/>
          <w:i w:val="0"/>
          <w:sz w:val="22"/>
        </w:rPr>
        <w:t xml:space="preserve"> reutiliza estas decisões na seção de governança, segurança, tolerância a falhas e consolidação. Fronteira acordada: a seção 3 justifica o padrão (o "porquê"); as políticas de resiliência, com parâmetros, ficam na seção 5.6 (o "como"), para não haver texto repetido entre as duas seções.</w:t>
      </w:r>
    </w:p>
    <w:p>
      <w:pPr>
        <w:sectPr>
          <w:pgSz w:w="11906" w:h="16838"/>
          <w:pgMar w:top="1134" w:right="1134" w:bottom="1134" w:left="1417" w:header="720" w:footer="720" w:gutter="0"/>
          <w:cols w:space="720"/>
          <w:docGrid w:linePitch="360"/>
        </w:sectPr>
      </w:pPr>
    </w:p>
    <w:p>
      <w:pPr>
        <w:pStyle w:val="Heading1"/>
      </w:pPr>
      <w:r>
        <w:rPr>
          <w:b w:val="0"/>
          <w:i w:val="0"/>
          <w:sz w:val="22"/>
        </w:rPr>
        <w:t>4. Integração entre Serviços: Comunicação Síncrona x Assíncrona</w:t>
      </w:r>
    </w:p>
    <w:p>
      <w:r>
        <w:rPr>
          <w:b w:val="0"/>
          <w:i/>
          <w:color w:val="595959"/>
          <w:sz w:val="19"/>
        </w:rPr>
        <w:t>Responsável: Arthur Cei Corrêa — RM 97781 · Período: 29/09/2026 a 05/10/2026 · Versão 1.4, com revisão de consolidação de 01/10/2026</w:t>
      </w:r>
    </w:p>
    <w:p>
      <w:r>
        <w:rPr>
          <w:b w:val="0"/>
          <w:i w:val="0"/>
          <w:sz w:val="22"/>
        </w:rPr>
        <w:t xml:space="preserve">Este item define </w:t>
      </w:r>
      <w:r>
        <w:rPr>
          <w:b/>
          <w:i w:val="0"/>
          <w:sz w:val="22"/>
        </w:rPr>
        <w:t>como</w:t>
      </w:r>
      <w:r>
        <w:rPr>
          <w:b w:val="0"/>
          <w:i w:val="0"/>
          <w:sz w:val="22"/>
        </w:rPr>
        <w:t xml:space="preserve"> os serviços se integram. A seção 3 explica </w:t>
      </w:r>
      <w:r>
        <w:rPr>
          <w:b/>
          <w:i w:val="0"/>
          <w:sz w:val="22"/>
        </w:rPr>
        <w:t>por que</w:t>
      </w:r>
      <w:r>
        <w:rPr>
          <w:b w:val="0"/>
          <w:i w:val="0"/>
          <w:sz w:val="22"/>
        </w:rPr>
        <w:t xml:space="preserve"> a compra usa Saga por coreografia; aqui estão os canais, contratos e decisões concretas dessa Saga.</w:t>
      </w:r>
    </w:p>
    <w:p>
      <w:pPr>
        <w:pStyle w:val="Heading2"/>
      </w:pPr>
      <w:r>
        <w:rPr>
          <w:b w:val="0"/>
          <w:i w:val="0"/>
          <w:sz w:val="22"/>
        </w:rPr>
        <w:t>4.1 Regra de decisão</w:t>
      </w:r>
    </w:p>
    <w:p>
      <w:r>
        <w:rPr>
          <w:b w:val="0"/>
          <w:i w:val="0"/>
          <w:sz w:val="22"/>
        </w:rPr>
        <w:t xml:space="preserve">Usamos </w:t>
      </w:r>
      <w:r>
        <w:rPr>
          <w:b/>
          <w:i w:val="0"/>
          <w:sz w:val="22"/>
        </w:rPr>
        <w:t>síncrono (REST/HTTPS com JSON)</w:t>
      </w:r>
      <w:r>
        <w:rPr>
          <w:b w:val="0"/>
          <w:i w:val="0"/>
          <w:sz w:val="22"/>
        </w:rPr>
        <w:t xml:space="preserve"> quando o usuário está esperando e a resposta é necessária para continuar: consulta de catálogo, consulta de saldo de estoque, validação de cliente, criação do pedido, autorização no gateway e consulta pública de rastreio. O gateway é a única porta dos clientes; entre serviços, o tráfego usa HTTPS com mTLS na malha.</w:t>
      </w:r>
    </w:p>
    <w:p>
      <w:r>
        <w:rPr>
          <w:b w:val="0"/>
          <w:i w:val="0"/>
          <w:sz w:val="22"/>
        </w:rPr>
        <w:t xml:space="preserve">Usamos </w:t>
      </w:r>
      <w:r>
        <w:rPr>
          <w:b/>
          <w:i w:val="0"/>
          <w:sz w:val="22"/>
        </w:rPr>
        <w:t>assíncrono (Kafka)</w:t>
      </w:r>
      <w:r>
        <w:rPr>
          <w:b w:val="0"/>
          <w:i w:val="0"/>
          <w:sz w:val="22"/>
        </w:rPr>
        <w:t xml:space="preserve"> quando o efeito pode acontecer depois, precisa absorver picos ou vários interessados precisam saber do fato: reserva e liberação de estoque, resultado do pagamento, criação de lote, telemetria, alerta de qualidade, notificação e anonimização. O produtor executa sua transação local e tenta publicar o evento com confirmação de entrega; os consumidores processam em seu próprio ritmo.</w:t>
      </w:r>
    </w:p>
    <w:p>
      <w:r>
        <w:rPr>
          <w:b w:val="0"/>
          <w:i w:val="0"/>
          <w:sz w:val="22"/>
        </w:rPr>
        <w:t xml:space="preserve">O custo do síncrono é o </w:t>
      </w:r>
      <w:r>
        <w:rPr>
          <w:b/>
          <w:i w:val="0"/>
          <w:sz w:val="22"/>
        </w:rPr>
        <w:t>acoplamento temporal</w:t>
      </w:r>
      <w:r>
        <w:rPr>
          <w:b w:val="0"/>
          <w:i w:val="0"/>
          <w:sz w:val="22"/>
        </w:rPr>
        <w:t>: uma cadeia de chamadas pode produzir falha em cascata. Toda chamada tem timeout, retry apenas quando idempotente e Circuit Breaker, conforme a seção 5; o gateway não transforma uma indisponibilidade de um serviço em espera infinita.</w:t>
      </w:r>
    </w:p>
    <w:p>
      <w:r>
        <w:rPr>
          <w:b w:val="0"/>
          <w:i w:val="0"/>
          <w:sz w:val="22"/>
        </w:rPr>
        <w:t xml:space="preserve">O custo do assíncrono é a </w:t>
      </w:r>
      <w:r>
        <w:rPr>
          <w:b/>
          <w:i w:val="0"/>
          <w:sz w:val="22"/>
        </w:rPr>
        <w:t>consistência eventual</w:t>
      </w:r>
      <w:r>
        <w:rPr>
          <w:b w:val="0"/>
          <w:i w:val="0"/>
          <w:sz w:val="22"/>
        </w:rPr>
        <w:t xml:space="preserve">. Kafka trabalha com entrega pelo menos uma vez: mensagens podem ser duplicadas, chegar atrasadas ou, entre partições, fora de ordem. Por isso cada evento tem </w:t>
      </w:r>
      <w:r>
        <w:rPr>
          <w:rFonts w:ascii="Consolas" w:hAnsi="Consolas"/>
          <w:b w:val="0"/>
          <w:i w:val="0"/>
          <w:color w:val="8B1A3A"/>
          <w:sz w:val="21"/>
        </w:rPr>
        <w:t>idEvento</w:t>
      </w:r>
      <w:r>
        <w:rPr>
          <w:b w:val="0"/>
          <w:i w:val="0"/>
          <w:sz w:val="22"/>
        </w:rPr>
        <w:t xml:space="preserve">, cada consumidor guarda os IDs já aplicados, a chave de partição preserva a ordem por </w:t>
      </w:r>
      <w:r>
        <w:rPr>
          <w:rFonts w:ascii="Consolas" w:hAnsi="Consolas"/>
          <w:b w:val="0"/>
          <w:i w:val="0"/>
          <w:color w:val="8B1A3A"/>
          <w:sz w:val="21"/>
        </w:rPr>
        <w:t>pedidoId</w:t>
      </w:r>
      <w:r>
        <w:rPr>
          <w:b w:val="0"/>
          <w:i w:val="0"/>
          <w:sz w:val="22"/>
        </w:rPr>
        <w:t xml:space="preserve">, </w:t>
      </w:r>
      <w:r>
        <w:rPr>
          <w:rFonts w:ascii="Consolas" w:hAnsi="Consolas"/>
          <w:b w:val="0"/>
          <w:i w:val="0"/>
          <w:color w:val="8B1A3A"/>
          <w:sz w:val="21"/>
        </w:rPr>
        <w:t>loteId</w:t>
      </w:r>
      <w:r>
        <w:rPr>
          <w:b w:val="0"/>
          <w:i w:val="0"/>
          <w:sz w:val="22"/>
        </w:rPr>
        <w:t xml:space="preserve"> ou </w:t>
      </w:r>
      <w:r>
        <w:rPr>
          <w:rFonts w:ascii="Consolas" w:hAnsi="Consolas"/>
          <w:b w:val="0"/>
          <w:i w:val="0"/>
          <w:color w:val="8B1A3A"/>
          <w:sz w:val="21"/>
        </w:rPr>
        <w:t>deviceId</w:t>
      </w:r>
      <w:r>
        <w:rPr>
          <w:b w:val="0"/>
          <w:i w:val="0"/>
          <w:sz w:val="22"/>
        </w:rPr>
        <w:t xml:space="preserve">, e mensagens que excedem as tentativas vão para </w:t>
      </w:r>
      <w:r>
        <w:rPr>
          <w:rFonts w:ascii="Consolas" w:hAnsi="Consolas"/>
          <w:b w:val="0"/>
          <w:i w:val="0"/>
          <w:color w:val="8B1A3A"/>
          <w:sz w:val="21"/>
        </w:rPr>
        <w:t>&lt;topico&gt;.DLQ</w:t>
      </w:r>
      <w:r>
        <w:rPr>
          <w:b w:val="0"/>
          <w:i w:val="0"/>
          <w:sz w:val="22"/>
        </w:rPr>
        <w:t>. Lag, taxa de erro e tamanho da DLQ são monitorados.</w:t>
      </w:r>
    </w:p>
    <w:p>
      <w:pPr>
        <w:pStyle w:val="Heading2"/>
      </w:pPr>
      <w:r>
        <w:rPr>
          <w:b w:val="0"/>
          <w:i w:val="0"/>
          <w:sz w:val="22"/>
        </w:rPr>
        <w:t>4.2 Matriz de comunicação</w:t>
      </w:r>
    </w:p>
    <w:p>
      <w:r>
        <w:rPr>
          <w:b w:val="0"/>
          <w:i w:val="0"/>
          <w:sz w:val="22"/>
        </w:rPr>
        <w:t>Cada linha representa uma relação direta. A chamada passa pelo API Gateway quando a origem é um canal; chamadas internas usam a malha com mTLS. Os endpoints são versionados conforme a convenção da seção 5.</w:t>
      </w:r>
    </w:p>
    <w:p>
      <w:pPr>
        <w:keepNext/>
        <w:spacing w:after="60" w:before="0"/>
        <w:jc w:val="left"/>
      </w:pPr>
      <w:r>
        <w:rPr>
          <w:b w:val="0"/>
          <w:i/>
          <w:color w:val="595959"/>
          <w:sz w:val="19"/>
        </w:rPr>
        <w:t>Tabela 11 — Matriz de comunicação: origem, destino, motivo, tipo e contrato</w:t>
      </w:r>
    </w:p>
    <w:tbl>
      <w:tblPr>
        <w:tblStyle w:val="TableGrid"/>
        <w:tblW w:type="auto" w:w="0"/>
        <w:jc w:val="center"/>
        <w:tblLayout w:type="fixed"/>
        <w:tblLook w:firstColumn="1" w:firstRow="1" w:lastColumn="0" w:lastRow="0" w:noHBand="0" w:noVBand="1" w:val="04A0"/>
      </w:tblPr>
      <w:tblGrid>
        <w:gridCol w:w="1871"/>
        <w:gridCol w:w="1871"/>
        <w:gridCol w:w="1871"/>
        <w:gridCol w:w="1871"/>
        <w:gridCol w:w="1871"/>
      </w:tblGrid>
      <w:tr>
        <w:trPr>
          <w:tblHeader w:val="true"/>
        </w:trPr>
        <w:tc>
          <w:tcPr>
            <w:tcW w:type="dxa" w:w="2381"/>
            <w:shd w:val="clear" w:fill="F4E7EB"/>
          </w:tcPr>
          <w:p>
            <w:pPr>
              <w:spacing w:after="0"/>
              <w:jc w:val="left"/>
            </w:pPr>
            <w:r>
              <w:rPr>
                <w:b/>
              </w:rPr>
            </w:r>
            <w:r>
              <w:rPr>
                <w:b/>
                <w:i w:val="0"/>
                <w:sz w:val="16"/>
              </w:rPr>
              <w:t>Origem → destino</w:t>
            </w:r>
          </w:p>
        </w:tc>
        <w:tc>
          <w:tcPr>
            <w:tcW w:type="dxa" w:w="3572"/>
            <w:shd w:val="clear" w:fill="F4E7EB"/>
          </w:tcPr>
          <w:p>
            <w:pPr>
              <w:spacing w:after="0"/>
              <w:jc w:val="left"/>
            </w:pPr>
            <w:r>
              <w:rPr>
                <w:b/>
              </w:rPr>
            </w:r>
            <w:r>
              <w:rPr>
                <w:b/>
                <w:i w:val="0"/>
                <w:sz w:val="16"/>
              </w:rPr>
              <w:t>Motivo</w:t>
            </w:r>
          </w:p>
        </w:tc>
        <w:tc>
          <w:tcPr>
            <w:tcW w:type="dxa" w:w="1134"/>
            <w:shd w:val="clear" w:fill="F4E7EB"/>
          </w:tcPr>
          <w:p>
            <w:pPr>
              <w:spacing w:after="0"/>
              <w:jc w:val="left"/>
            </w:pPr>
            <w:r>
              <w:rPr>
                <w:b/>
              </w:rPr>
            </w:r>
            <w:r>
              <w:rPr>
                <w:b/>
                <w:i w:val="0"/>
                <w:sz w:val="16"/>
              </w:rPr>
              <w:t>Tipo</w:t>
            </w:r>
          </w:p>
        </w:tc>
        <w:tc>
          <w:tcPr>
            <w:tcW w:type="dxa" w:w="1304"/>
            <w:shd w:val="clear" w:fill="F4E7EB"/>
          </w:tcPr>
          <w:p>
            <w:pPr>
              <w:spacing w:after="0"/>
              <w:jc w:val="left"/>
            </w:pPr>
            <w:r>
              <w:rPr>
                <w:b/>
              </w:rPr>
            </w:r>
            <w:r>
              <w:rPr>
                <w:b/>
                <w:i w:val="0"/>
                <w:sz w:val="16"/>
              </w:rPr>
              <w:t>Tópico, se assíncrono</w:t>
            </w:r>
          </w:p>
        </w:tc>
        <w:tc>
          <w:tcPr>
            <w:tcW w:type="dxa" w:w="1247"/>
            <w:shd w:val="clear" w:fill="F4E7EB"/>
          </w:tcPr>
          <w:p>
            <w:pPr>
              <w:spacing w:after="0"/>
              <w:jc w:val="left"/>
            </w:pPr>
            <w:r>
              <w:rPr>
                <w:b/>
              </w:rPr>
            </w:r>
            <w:r>
              <w:rPr>
                <w:b/>
                <w:i w:val="0"/>
                <w:sz w:val="16"/>
              </w:rPr>
              <w:t>Endpoint, se síncrono</w:t>
            </w:r>
          </w:p>
        </w:tc>
      </w:tr>
      <w:tr>
        <w:tc>
          <w:tcPr>
            <w:tcW w:type="dxa" w:w="2381"/>
          </w:tcPr>
          <w:p>
            <w:pPr>
              <w:spacing w:after="0" w:line="240" w:lineRule="auto"/>
              <w:jc w:val="left"/>
            </w:pPr>
            <w:r/>
            <w:r>
              <w:rPr>
                <w:b w:val="0"/>
                <w:i w:val="0"/>
                <w:sz w:val="16"/>
              </w:rPr>
              <w:t>Web/App/Painel → API Gateway</w:t>
            </w:r>
          </w:p>
        </w:tc>
        <w:tc>
          <w:tcPr>
            <w:tcW w:type="dxa" w:w="3572"/>
          </w:tcPr>
          <w:p>
            <w:pPr>
              <w:spacing w:after="0" w:line="240" w:lineRule="auto"/>
              <w:jc w:val="left"/>
            </w:pPr>
            <w:r/>
            <w:r>
              <w:rPr>
                <w:b w:val="0"/>
                <w:i w:val="0"/>
                <w:sz w:val="16"/>
              </w:rPr>
              <w:t>Entrada única, JWT, rate limit e roteamento</w:t>
            </w:r>
          </w:p>
        </w:tc>
        <w:tc>
          <w:tcPr>
            <w:tcW w:type="dxa" w:w="1134"/>
          </w:tcPr>
          <w:p>
            <w:pPr>
              <w:spacing w:after="0" w:line="240" w:lineRule="auto"/>
              <w:jc w:val="left"/>
            </w:pPr>
            <w:r/>
            <w:r>
              <w:rPr>
                <w:b w:val="0"/>
                <w:i w:val="0"/>
                <w:sz w:val="16"/>
              </w:rPr>
              <w:t>Síncrono REST/HTTPS</w:t>
            </w:r>
          </w:p>
        </w:tc>
        <w:tc>
          <w:tcPr>
            <w:tcW w:type="dxa" w:w="1304"/>
          </w:tcPr>
          <w:p>
            <w:pPr>
              <w:spacing w:after="0" w:line="240" w:lineRule="auto"/>
              <w:jc w:val="left"/>
            </w:pPr>
            <w:r/>
            <w:r>
              <w:rPr>
                <w:b w:val="0"/>
                <w:i w:val="0"/>
                <w:sz w:val="16"/>
              </w:rPr>
              <w:t>—</w:t>
            </w:r>
          </w:p>
        </w:tc>
        <w:tc>
          <w:tcPr>
            <w:tcW w:type="dxa" w:w="1247"/>
          </w:tcPr>
          <w:p>
            <w:pPr>
              <w:spacing w:after="0" w:line="240" w:lineRule="auto"/>
              <w:jc w:val="left"/>
            </w:pPr>
            <w:r/>
            <w:r>
              <w:rPr>
                <w:rFonts w:ascii="Consolas" w:hAnsi="Consolas"/>
                <w:b w:val="0"/>
                <w:i w:val="0"/>
                <w:color w:val="8B1A3A"/>
                <w:sz w:val="15"/>
              </w:rPr>
              <w:t>/api/*</w:t>
            </w:r>
          </w:p>
        </w:tc>
      </w:tr>
      <w:tr>
        <w:tc>
          <w:tcPr>
            <w:tcW w:type="dxa" w:w="2381"/>
          </w:tcPr>
          <w:p>
            <w:pPr>
              <w:spacing w:after="0" w:line="240" w:lineRule="auto"/>
              <w:jc w:val="left"/>
            </w:pPr>
            <w:r/>
            <w:r>
              <w:rPr>
                <w:b w:val="0"/>
                <w:i w:val="0"/>
                <w:sz w:val="16"/>
              </w:rPr>
              <w:t>API Gateway → Monolito atual (Web Servlet/JSP + API .NET de estoque)</w:t>
            </w:r>
          </w:p>
        </w:tc>
        <w:tc>
          <w:tcPr>
            <w:tcW w:type="dxa" w:w="3572"/>
          </w:tcPr>
          <w:p>
            <w:pPr>
              <w:spacing w:after="0" w:line="240" w:lineRule="auto"/>
              <w:jc w:val="left"/>
            </w:pPr>
            <w:r/>
            <w:r>
              <w:rPr>
                <w:b w:val="0"/>
                <w:i w:val="0"/>
                <w:sz w:val="16"/>
              </w:rPr>
              <w:t>Rotas cujo domínio ainda não foi extraído continuam sendo encaminhadas ao legado durante a migração (Strangler Fig, conforme a seção 2 e a seção 3)</w:t>
            </w:r>
          </w:p>
        </w:tc>
        <w:tc>
          <w:tcPr>
            <w:tcW w:type="dxa" w:w="1134"/>
          </w:tcPr>
          <w:p>
            <w:pPr>
              <w:spacing w:after="0" w:line="240" w:lineRule="auto"/>
              <w:jc w:val="left"/>
            </w:pPr>
            <w:r/>
            <w:r>
              <w:rPr>
                <w:b w:val="0"/>
                <w:i w:val="0"/>
                <w:sz w:val="16"/>
              </w:rPr>
              <w:t>Síncrono REST/HTTPS</w:t>
            </w:r>
          </w:p>
        </w:tc>
        <w:tc>
          <w:tcPr>
            <w:tcW w:type="dxa" w:w="1304"/>
          </w:tcPr>
          <w:p>
            <w:pPr>
              <w:spacing w:after="0" w:line="240" w:lineRule="auto"/>
              <w:jc w:val="left"/>
            </w:pPr>
            <w:r/>
            <w:r>
              <w:rPr>
                <w:b w:val="0"/>
                <w:i w:val="0"/>
                <w:sz w:val="16"/>
              </w:rPr>
              <w:t>—</w:t>
            </w:r>
          </w:p>
        </w:tc>
        <w:tc>
          <w:tcPr>
            <w:tcW w:type="dxa" w:w="1247"/>
          </w:tcPr>
          <w:p>
            <w:pPr>
              <w:spacing w:after="0" w:line="240" w:lineRule="auto"/>
              <w:jc w:val="left"/>
            </w:pPr>
            <w:r/>
            <w:r>
              <w:rPr>
                <w:b w:val="0"/>
                <w:i w:val="0"/>
                <w:sz w:val="16"/>
              </w:rPr>
              <w:t xml:space="preserve">Prefixo </w:t>
            </w:r>
            <w:r>
              <w:rPr>
                <w:rFonts w:ascii="Consolas" w:hAnsi="Consolas"/>
                <w:b w:val="0"/>
                <w:i w:val="0"/>
                <w:color w:val="8B1A3A"/>
                <w:sz w:val="15"/>
              </w:rPr>
              <w:t>/api/&lt;dominio&gt;</w:t>
            </w:r>
            <w:r>
              <w:rPr>
                <w:b w:val="0"/>
                <w:i w:val="0"/>
                <w:sz w:val="16"/>
              </w:rPr>
              <w:t xml:space="preserve"> ainda não extraído</w:t>
            </w:r>
          </w:p>
        </w:tc>
      </w:tr>
      <w:tr>
        <w:tc>
          <w:tcPr>
            <w:tcW w:type="dxa" w:w="2381"/>
          </w:tcPr>
          <w:p>
            <w:pPr>
              <w:spacing w:after="0" w:line="240" w:lineRule="auto"/>
              <w:jc w:val="left"/>
            </w:pPr>
            <w:r/>
            <w:r>
              <w:rPr>
                <w:b w:val="0"/>
                <w:i w:val="0"/>
                <w:sz w:val="16"/>
              </w:rPr>
              <w:t xml:space="preserve">Web/App/Painel → </w:t>
            </w:r>
            <w:r>
              <w:rPr>
                <w:rFonts w:ascii="Consolas" w:hAnsi="Consolas"/>
                <w:b w:val="0"/>
                <w:i w:val="0"/>
                <w:color w:val="8B1A3A"/>
                <w:sz w:val="15"/>
              </w:rPr>
              <w:t>ms-identidade</w:t>
            </w:r>
            <w:r>
              <w:rPr>
                <w:b w:val="0"/>
                <w:i w:val="0"/>
                <w:sz w:val="16"/>
              </w:rPr>
              <w:t xml:space="preserve"> (Keycloak) e API Gateway → </w:t>
            </w:r>
            <w:r>
              <w:rPr>
                <w:rFonts w:ascii="Consolas" w:hAnsi="Consolas"/>
                <w:b w:val="0"/>
                <w:i w:val="0"/>
                <w:color w:val="8B1A3A"/>
                <w:sz w:val="15"/>
              </w:rPr>
              <w:t>ms-identidade</w:t>
            </w:r>
            <w:r>
              <w:rPr>
                <w:b w:val="0"/>
                <w:i w:val="0"/>
                <w:sz w:val="16"/>
              </w:rPr>
              <w:t xml:space="preserve"> (somente JWKS)</w:t>
            </w:r>
          </w:p>
        </w:tc>
        <w:tc>
          <w:tcPr>
            <w:tcW w:type="dxa" w:w="3572"/>
          </w:tcPr>
          <w:p>
            <w:pPr>
              <w:spacing w:after="0" w:line="240" w:lineRule="auto"/>
              <w:jc w:val="left"/>
            </w:pPr>
            <w:r/>
            <w:r>
              <w:rPr>
                <w:b w:val="0"/>
                <w:i w:val="0"/>
                <w:sz w:val="16"/>
              </w:rPr>
              <w:t>Autenticação no fluxo OIDC da seção 5.3.3: Authorization Code + PKCE no app e Client Credentials entre serviços. Quem emite e renova o token é o Keycloak; o gateway apenas busca o JWKS e valida o JWT localmente, sem introspecção por requisição (ADR-002)</w:t>
            </w:r>
          </w:p>
        </w:tc>
        <w:tc>
          <w:tcPr>
            <w:tcW w:type="dxa" w:w="1134"/>
          </w:tcPr>
          <w:p>
            <w:pPr>
              <w:spacing w:after="0" w:line="240" w:lineRule="auto"/>
              <w:jc w:val="left"/>
            </w:pPr>
            <w:r/>
            <w:r>
              <w:rPr>
                <w:b w:val="0"/>
                <w:i w:val="0"/>
                <w:sz w:val="16"/>
              </w:rPr>
              <w:t>Síncrono REST/HTTPS</w:t>
            </w:r>
          </w:p>
        </w:tc>
        <w:tc>
          <w:tcPr>
            <w:tcW w:type="dxa" w:w="1304"/>
          </w:tcPr>
          <w:p>
            <w:pPr>
              <w:spacing w:after="0" w:line="240" w:lineRule="auto"/>
              <w:jc w:val="left"/>
            </w:pPr>
            <w:r/>
            <w:r>
              <w:rPr>
                <w:b w:val="0"/>
                <w:i w:val="0"/>
                <w:sz w:val="16"/>
              </w:rPr>
              <w:t>—</w:t>
            </w:r>
          </w:p>
        </w:tc>
        <w:tc>
          <w:tcPr>
            <w:tcW w:type="dxa" w:w="1247"/>
          </w:tcPr>
          <w:p>
            <w:pPr>
              <w:spacing w:after="0" w:line="240" w:lineRule="auto"/>
              <w:jc w:val="left"/>
            </w:pPr>
            <w:r/>
            <w:r>
              <w:rPr>
                <w:b w:val="0"/>
                <w:i w:val="0"/>
                <w:sz w:val="16"/>
              </w:rPr>
              <w:t>Metadados OIDC/JWKS do Keycloak — a emissão de token não passa pelo gateway</w:t>
            </w:r>
          </w:p>
        </w:tc>
      </w:tr>
      <w:tr>
        <w:tc>
          <w:tcPr>
            <w:tcW w:type="dxa" w:w="2381"/>
          </w:tcPr>
          <w:p>
            <w:pPr>
              <w:spacing w:after="0" w:line="240" w:lineRule="auto"/>
              <w:jc w:val="left"/>
            </w:pPr>
            <w:r/>
            <w:r>
              <w:rPr>
                <w:b w:val="0"/>
                <w:i w:val="0"/>
                <w:sz w:val="16"/>
              </w:rPr>
              <w:t xml:space="preserve">API Gateway → </w:t>
            </w:r>
            <w:r>
              <w:rPr>
                <w:rFonts w:ascii="Consolas" w:hAnsi="Consolas"/>
                <w:b w:val="0"/>
                <w:i w:val="0"/>
                <w:color w:val="8B1A3A"/>
                <w:sz w:val="15"/>
              </w:rPr>
              <w:t>ms-catalogo</w:t>
            </w:r>
          </w:p>
        </w:tc>
        <w:tc>
          <w:tcPr>
            <w:tcW w:type="dxa" w:w="3572"/>
          </w:tcPr>
          <w:p>
            <w:pPr>
              <w:spacing w:after="0" w:line="240" w:lineRule="auto"/>
              <w:jc w:val="left"/>
            </w:pPr>
            <w:r/>
            <w:r>
              <w:rPr>
                <w:b w:val="0"/>
                <w:i w:val="0"/>
                <w:sz w:val="16"/>
              </w:rPr>
              <w:t>Consulta de vinhos e categorias para exibir a oferta</w:t>
            </w:r>
          </w:p>
        </w:tc>
        <w:tc>
          <w:tcPr>
            <w:tcW w:type="dxa" w:w="1134"/>
          </w:tcPr>
          <w:p>
            <w:pPr>
              <w:spacing w:after="0" w:line="240" w:lineRule="auto"/>
              <w:jc w:val="left"/>
            </w:pPr>
            <w:r/>
            <w:r>
              <w:rPr>
                <w:b w:val="0"/>
                <w:i w:val="0"/>
                <w:sz w:val="16"/>
              </w:rPr>
              <w:t>Síncrono REST/HTTPS</w:t>
            </w:r>
          </w:p>
        </w:tc>
        <w:tc>
          <w:tcPr>
            <w:tcW w:type="dxa" w:w="1304"/>
          </w:tcPr>
          <w:p>
            <w:pPr>
              <w:spacing w:after="0" w:line="240" w:lineRule="auto"/>
              <w:jc w:val="left"/>
            </w:pPr>
            <w:r/>
            <w:r>
              <w:rPr>
                <w:b w:val="0"/>
                <w:i w:val="0"/>
                <w:sz w:val="16"/>
              </w:rPr>
              <w:t>—</w:t>
            </w:r>
          </w:p>
        </w:tc>
        <w:tc>
          <w:tcPr>
            <w:tcW w:type="dxa" w:w="1247"/>
          </w:tcPr>
          <w:p>
            <w:pPr>
              <w:spacing w:after="0" w:line="240" w:lineRule="auto"/>
              <w:jc w:val="left"/>
            </w:pPr>
            <w:r/>
            <w:r>
              <w:rPr>
                <w:rFonts w:ascii="Consolas" w:hAnsi="Consolas"/>
                <w:b w:val="0"/>
                <w:i w:val="0"/>
                <w:color w:val="8B1A3A"/>
                <w:sz w:val="15"/>
              </w:rPr>
              <w:t>GET /v1/vinhos</w:t>
            </w:r>
          </w:p>
        </w:tc>
      </w:tr>
      <w:tr>
        <w:tc>
          <w:tcPr>
            <w:tcW w:type="dxa" w:w="2381"/>
          </w:tcPr>
          <w:p>
            <w:pPr>
              <w:spacing w:after="0" w:line="240" w:lineRule="auto"/>
              <w:jc w:val="left"/>
            </w:pPr>
            <w:r/>
            <w:r>
              <w:rPr>
                <w:b w:val="0"/>
                <w:i w:val="0"/>
                <w:sz w:val="16"/>
              </w:rPr>
              <w:t xml:space="preserve">API Gateway → </w:t>
            </w:r>
            <w:r>
              <w:rPr>
                <w:rFonts w:ascii="Consolas" w:hAnsi="Consolas"/>
                <w:b w:val="0"/>
                <w:i w:val="0"/>
                <w:color w:val="8B1A3A"/>
                <w:sz w:val="15"/>
              </w:rPr>
              <w:t>ms-estoque</w:t>
            </w:r>
          </w:p>
        </w:tc>
        <w:tc>
          <w:tcPr>
            <w:tcW w:type="dxa" w:w="3572"/>
          </w:tcPr>
          <w:p>
            <w:pPr>
              <w:spacing w:after="0" w:line="240" w:lineRule="auto"/>
              <w:jc w:val="left"/>
            </w:pPr>
            <w:r/>
            <w:r>
              <w:rPr>
                <w:b w:val="0"/>
                <w:i w:val="0"/>
                <w:sz w:val="16"/>
              </w:rPr>
              <w:t>Consulta de posição disponível no dia a dia</w:t>
            </w:r>
          </w:p>
        </w:tc>
        <w:tc>
          <w:tcPr>
            <w:tcW w:type="dxa" w:w="1134"/>
          </w:tcPr>
          <w:p>
            <w:pPr>
              <w:spacing w:after="0" w:line="240" w:lineRule="auto"/>
              <w:jc w:val="left"/>
            </w:pPr>
            <w:r/>
            <w:r>
              <w:rPr>
                <w:b w:val="0"/>
                <w:i w:val="0"/>
                <w:sz w:val="16"/>
              </w:rPr>
              <w:t>Síncrono REST/HTTPS</w:t>
            </w:r>
          </w:p>
        </w:tc>
        <w:tc>
          <w:tcPr>
            <w:tcW w:type="dxa" w:w="1304"/>
          </w:tcPr>
          <w:p>
            <w:pPr>
              <w:spacing w:after="0" w:line="240" w:lineRule="auto"/>
              <w:jc w:val="left"/>
            </w:pPr>
            <w:r/>
            <w:r>
              <w:rPr>
                <w:b w:val="0"/>
                <w:i w:val="0"/>
                <w:sz w:val="16"/>
              </w:rPr>
              <w:t>—</w:t>
            </w:r>
          </w:p>
        </w:tc>
        <w:tc>
          <w:tcPr>
            <w:tcW w:type="dxa" w:w="1247"/>
          </w:tcPr>
          <w:p>
            <w:pPr>
              <w:spacing w:after="0" w:line="240" w:lineRule="auto"/>
              <w:jc w:val="left"/>
            </w:pPr>
            <w:r/>
            <w:r>
              <w:rPr>
                <w:rFonts w:ascii="Consolas" w:hAnsi="Consolas"/>
                <w:b w:val="0"/>
                <w:i w:val="0"/>
                <w:color w:val="8B1A3A"/>
                <w:sz w:val="15"/>
              </w:rPr>
              <w:t>GET /v1/estoque/posicoes?produtoId=...</w:t>
            </w:r>
          </w:p>
        </w:tc>
      </w:tr>
      <w:tr>
        <w:tc>
          <w:tcPr>
            <w:tcW w:type="dxa" w:w="2381"/>
          </w:tcPr>
          <w:p>
            <w:pPr>
              <w:spacing w:after="0" w:line="240" w:lineRule="auto"/>
              <w:jc w:val="left"/>
            </w:pPr>
            <w:r/>
            <w:r>
              <w:rPr>
                <w:b w:val="0"/>
                <w:i w:val="0"/>
                <w:sz w:val="16"/>
              </w:rPr>
              <w:t xml:space="preserve">API Gateway → </w:t>
            </w:r>
            <w:r>
              <w:rPr>
                <w:rFonts w:ascii="Consolas" w:hAnsi="Consolas"/>
                <w:b w:val="0"/>
                <w:i w:val="0"/>
                <w:color w:val="8B1A3A"/>
                <w:sz w:val="15"/>
              </w:rPr>
              <w:t>ms-pedidos</w:t>
            </w:r>
          </w:p>
        </w:tc>
        <w:tc>
          <w:tcPr>
            <w:tcW w:type="dxa" w:w="3572"/>
          </w:tcPr>
          <w:p>
            <w:pPr>
              <w:spacing w:after="0" w:line="240" w:lineRule="auto"/>
              <w:jc w:val="left"/>
            </w:pPr>
            <w:r/>
            <w:r>
              <w:rPr>
                <w:b w:val="0"/>
                <w:i w:val="0"/>
                <w:sz w:val="16"/>
              </w:rPr>
              <w:t>Criar e consultar pedido</w:t>
            </w:r>
          </w:p>
        </w:tc>
        <w:tc>
          <w:tcPr>
            <w:tcW w:type="dxa" w:w="1134"/>
          </w:tcPr>
          <w:p>
            <w:pPr>
              <w:spacing w:after="0" w:line="240" w:lineRule="auto"/>
              <w:jc w:val="left"/>
            </w:pPr>
            <w:r/>
            <w:r>
              <w:rPr>
                <w:b w:val="0"/>
                <w:i w:val="0"/>
                <w:sz w:val="16"/>
              </w:rPr>
              <w:t>Síncrono REST/HTTPS</w:t>
            </w:r>
          </w:p>
        </w:tc>
        <w:tc>
          <w:tcPr>
            <w:tcW w:type="dxa" w:w="1304"/>
          </w:tcPr>
          <w:p>
            <w:pPr>
              <w:spacing w:after="0" w:line="240" w:lineRule="auto"/>
              <w:jc w:val="left"/>
            </w:pPr>
            <w:r/>
            <w:r>
              <w:rPr>
                <w:b w:val="0"/>
                <w:i w:val="0"/>
                <w:sz w:val="16"/>
              </w:rPr>
              <w:t>—</w:t>
            </w:r>
          </w:p>
        </w:tc>
        <w:tc>
          <w:tcPr>
            <w:tcW w:type="dxa" w:w="1247"/>
          </w:tcPr>
          <w:p>
            <w:pPr>
              <w:spacing w:after="0" w:line="240" w:lineRule="auto"/>
              <w:jc w:val="left"/>
            </w:pPr>
            <w:r/>
            <w:r>
              <w:rPr>
                <w:rFonts w:ascii="Consolas" w:hAnsi="Consolas"/>
                <w:b w:val="0"/>
                <w:i w:val="0"/>
                <w:color w:val="8B1A3A"/>
                <w:sz w:val="15"/>
              </w:rPr>
              <w:t>POST /v1/pedidos</w:t>
            </w:r>
            <w:r>
              <w:rPr>
                <w:b w:val="0"/>
                <w:i w:val="0"/>
                <w:sz w:val="16"/>
              </w:rPr>
              <w:t xml:space="preserve"> e </w:t>
            </w:r>
            <w:r>
              <w:rPr>
                <w:rFonts w:ascii="Consolas" w:hAnsi="Consolas"/>
                <w:b w:val="0"/>
                <w:i w:val="0"/>
                <w:color w:val="8B1A3A"/>
                <w:sz w:val="15"/>
              </w:rPr>
              <w:t>GET /v1/pedidos/{pedidoId}</w:t>
            </w:r>
          </w:p>
        </w:tc>
      </w:tr>
      <w:tr>
        <w:tc>
          <w:tcPr>
            <w:tcW w:type="dxa" w:w="2381"/>
          </w:tcPr>
          <w:p>
            <w:pPr>
              <w:spacing w:after="0" w:line="240" w:lineRule="auto"/>
              <w:jc w:val="left"/>
            </w:pPr>
            <w:r/>
            <w:r>
              <w:rPr>
                <w:b w:val="0"/>
                <w:i w:val="0"/>
                <w:sz w:val="16"/>
              </w:rPr>
              <w:t xml:space="preserve">API Gateway → </w:t>
            </w:r>
            <w:r>
              <w:rPr>
                <w:rFonts w:ascii="Consolas" w:hAnsi="Consolas"/>
                <w:b w:val="0"/>
                <w:i w:val="0"/>
                <w:color w:val="8B1A3A"/>
                <w:sz w:val="15"/>
              </w:rPr>
              <w:t>ms-clientes</w:t>
            </w:r>
          </w:p>
        </w:tc>
        <w:tc>
          <w:tcPr>
            <w:tcW w:type="dxa" w:w="3572"/>
          </w:tcPr>
          <w:p>
            <w:pPr>
              <w:spacing w:after="0" w:line="240" w:lineRule="auto"/>
              <w:jc w:val="left"/>
            </w:pPr>
            <w:r/>
            <w:r>
              <w:rPr>
                <w:b w:val="0"/>
                <w:i w:val="0"/>
                <w:sz w:val="16"/>
              </w:rPr>
              <w:t>Consultar ou alterar perfil e consentimento</w:t>
            </w:r>
          </w:p>
        </w:tc>
        <w:tc>
          <w:tcPr>
            <w:tcW w:type="dxa" w:w="1134"/>
          </w:tcPr>
          <w:p>
            <w:pPr>
              <w:spacing w:after="0" w:line="240" w:lineRule="auto"/>
              <w:jc w:val="left"/>
            </w:pPr>
            <w:r/>
            <w:r>
              <w:rPr>
                <w:b w:val="0"/>
                <w:i w:val="0"/>
                <w:sz w:val="16"/>
              </w:rPr>
              <w:t>Síncrono REST/HTTPS</w:t>
            </w:r>
          </w:p>
        </w:tc>
        <w:tc>
          <w:tcPr>
            <w:tcW w:type="dxa" w:w="1304"/>
          </w:tcPr>
          <w:p>
            <w:pPr>
              <w:spacing w:after="0" w:line="240" w:lineRule="auto"/>
              <w:jc w:val="left"/>
            </w:pPr>
            <w:r/>
            <w:r>
              <w:rPr>
                <w:b w:val="0"/>
                <w:i w:val="0"/>
                <w:sz w:val="16"/>
              </w:rPr>
              <w:t>—</w:t>
            </w:r>
          </w:p>
        </w:tc>
        <w:tc>
          <w:tcPr>
            <w:tcW w:type="dxa" w:w="1247"/>
          </w:tcPr>
          <w:p>
            <w:pPr>
              <w:spacing w:after="0" w:line="240" w:lineRule="auto"/>
              <w:jc w:val="left"/>
            </w:pPr>
            <w:r/>
            <w:r>
              <w:rPr>
                <w:rFonts w:ascii="Consolas" w:hAnsi="Consolas"/>
                <w:b w:val="0"/>
                <w:i w:val="0"/>
                <w:color w:val="8B1A3A"/>
                <w:sz w:val="15"/>
              </w:rPr>
              <w:t>GET /v1/clientes/{clienteId}</w:t>
            </w:r>
          </w:p>
        </w:tc>
      </w:tr>
      <w:tr>
        <w:tc>
          <w:tcPr>
            <w:tcW w:type="dxa" w:w="2381"/>
          </w:tcPr>
          <w:p>
            <w:pPr>
              <w:spacing w:after="0" w:line="240" w:lineRule="auto"/>
              <w:jc w:val="left"/>
            </w:pPr>
            <w:r/>
            <w:r>
              <w:rPr>
                <w:b w:val="0"/>
                <w:i w:val="0"/>
                <w:sz w:val="16"/>
              </w:rPr>
              <w:t xml:space="preserve">API Gateway → </w:t>
            </w:r>
            <w:r>
              <w:rPr>
                <w:rFonts w:ascii="Consolas" w:hAnsi="Consolas"/>
                <w:b w:val="0"/>
                <w:i w:val="0"/>
                <w:color w:val="8B1A3A"/>
                <w:sz w:val="15"/>
              </w:rPr>
              <w:t>ms-lotes</w:t>
            </w:r>
          </w:p>
        </w:tc>
        <w:tc>
          <w:tcPr>
            <w:tcW w:type="dxa" w:w="3572"/>
          </w:tcPr>
          <w:p>
            <w:pPr>
              <w:spacing w:after="0" w:line="240" w:lineRule="auto"/>
              <w:jc w:val="left"/>
            </w:pPr>
            <w:r/>
            <w:r>
              <w:rPr>
                <w:b w:val="0"/>
                <w:i w:val="0"/>
                <w:sz w:val="16"/>
              </w:rPr>
              <w:t>Consulta pública do QR Code e genealogia do lote</w:t>
            </w:r>
          </w:p>
        </w:tc>
        <w:tc>
          <w:tcPr>
            <w:tcW w:type="dxa" w:w="1134"/>
          </w:tcPr>
          <w:p>
            <w:pPr>
              <w:spacing w:after="0" w:line="240" w:lineRule="auto"/>
              <w:jc w:val="left"/>
            </w:pPr>
            <w:r/>
            <w:r>
              <w:rPr>
                <w:b w:val="0"/>
                <w:i w:val="0"/>
                <w:sz w:val="16"/>
              </w:rPr>
              <w:t>Síncrono REST/HTTPS</w:t>
            </w:r>
          </w:p>
        </w:tc>
        <w:tc>
          <w:tcPr>
            <w:tcW w:type="dxa" w:w="1304"/>
          </w:tcPr>
          <w:p>
            <w:pPr>
              <w:spacing w:after="0" w:line="240" w:lineRule="auto"/>
              <w:jc w:val="left"/>
            </w:pPr>
            <w:r/>
            <w:r>
              <w:rPr>
                <w:b w:val="0"/>
                <w:i w:val="0"/>
                <w:sz w:val="16"/>
              </w:rPr>
              <w:t>—</w:t>
            </w:r>
          </w:p>
        </w:tc>
        <w:tc>
          <w:tcPr>
            <w:tcW w:type="dxa" w:w="1247"/>
          </w:tcPr>
          <w:p>
            <w:pPr>
              <w:spacing w:after="0" w:line="240" w:lineRule="auto"/>
              <w:jc w:val="left"/>
            </w:pPr>
            <w:r/>
            <w:r>
              <w:rPr>
                <w:rFonts w:ascii="Consolas" w:hAnsi="Consolas"/>
                <w:b w:val="0"/>
                <w:i w:val="0"/>
                <w:color w:val="8B1A3A"/>
                <w:sz w:val="15"/>
              </w:rPr>
              <w:t>GET /v1/lotes/{loteId}/rastreio</w:t>
            </w:r>
          </w:p>
        </w:tc>
      </w:tr>
      <w:tr>
        <w:tc>
          <w:tcPr>
            <w:tcW w:type="dxa" w:w="2381"/>
          </w:tcPr>
          <w:p>
            <w:pPr>
              <w:spacing w:after="0" w:line="240" w:lineRule="auto"/>
              <w:jc w:val="left"/>
            </w:pPr>
            <w:r/>
            <w:r>
              <w:rPr>
                <w:rFonts w:ascii="Consolas" w:hAnsi="Consolas"/>
                <w:b w:val="0"/>
                <w:i w:val="0"/>
                <w:color w:val="8B1A3A"/>
                <w:sz w:val="15"/>
              </w:rPr>
              <w:t>ms-pedidos</w:t>
            </w:r>
            <w:r>
              <w:rPr>
                <w:b w:val="0"/>
                <w:i w:val="0"/>
                <w:sz w:val="16"/>
              </w:rPr>
              <w:t xml:space="preserve"> → </w:t>
            </w:r>
            <w:r>
              <w:rPr>
                <w:rFonts w:ascii="Consolas" w:hAnsi="Consolas"/>
                <w:b w:val="0"/>
                <w:i w:val="0"/>
                <w:color w:val="8B1A3A"/>
                <w:sz w:val="15"/>
              </w:rPr>
              <w:t>ms-catalogo</w:t>
            </w:r>
          </w:p>
        </w:tc>
        <w:tc>
          <w:tcPr>
            <w:tcW w:type="dxa" w:w="3572"/>
          </w:tcPr>
          <w:p>
            <w:pPr>
              <w:spacing w:after="0" w:line="240" w:lineRule="auto"/>
              <w:jc w:val="left"/>
            </w:pPr>
            <w:r/>
            <w:r>
              <w:rPr>
                <w:b w:val="0"/>
                <w:i w:val="0"/>
                <w:sz w:val="16"/>
              </w:rPr>
              <w:t>Validar produto, preço vigente e dados do item antes de gravar o pedido</w:t>
            </w:r>
          </w:p>
        </w:tc>
        <w:tc>
          <w:tcPr>
            <w:tcW w:type="dxa" w:w="1134"/>
          </w:tcPr>
          <w:p>
            <w:pPr>
              <w:spacing w:after="0" w:line="240" w:lineRule="auto"/>
              <w:jc w:val="left"/>
            </w:pPr>
            <w:r/>
            <w:r>
              <w:rPr>
                <w:b w:val="0"/>
                <w:i w:val="0"/>
                <w:sz w:val="16"/>
              </w:rPr>
              <w:t>Síncrono REST/HTTPS</w:t>
            </w:r>
          </w:p>
        </w:tc>
        <w:tc>
          <w:tcPr>
            <w:tcW w:type="dxa" w:w="1304"/>
          </w:tcPr>
          <w:p>
            <w:pPr>
              <w:spacing w:after="0" w:line="240" w:lineRule="auto"/>
              <w:jc w:val="left"/>
            </w:pPr>
            <w:r/>
            <w:r>
              <w:rPr>
                <w:b w:val="0"/>
                <w:i w:val="0"/>
                <w:sz w:val="16"/>
              </w:rPr>
              <w:t>—</w:t>
            </w:r>
          </w:p>
        </w:tc>
        <w:tc>
          <w:tcPr>
            <w:tcW w:type="dxa" w:w="1247"/>
          </w:tcPr>
          <w:p>
            <w:pPr>
              <w:spacing w:after="0" w:line="240" w:lineRule="auto"/>
              <w:jc w:val="left"/>
            </w:pPr>
            <w:r/>
            <w:r>
              <w:rPr>
                <w:rFonts w:ascii="Consolas" w:hAnsi="Consolas"/>
                <w:b w:val="0"/>
                <w:i w:val="0"/>
                <w:color w:val="8B1A3A"/>
                <w:sz w:val="15"/>
              </w:rPr>
              <w:t>GET /v1/vinhos/{vinhoId}</w:t>
            </w:r>
          </w:p>
        </w:tc>
      </w:tr>
      <w:tr>
        <w:tc>
          <w:tcPr>
            <w:tcW w:type="dxa" w:w="2381"/>
          </w:tcPr>
          <w:p>
            <w:pPr>
              <w:spacing w:after="0" w:line="240" w:lineRule="auto"/>
              <w:jc w:val="left"/>
            </w:pPr>
            <w:r/>
            <w:r>
              <w:rPr>
                <w:rFonts w:ascii="Consolas" w:hAnsi="Consolas"/>
                <w:b w:val="0"/>
                <w:i w:val="0"/>
                <w:color w:val="8B1A3A"/>
                <w:sz w:val="15"/>
              </w:rPr>
              <w:t>ms-pedidos</w:t>
            </w:r>
            <w:r>
              <w:rPr>
                <w:b w:val="0"/>
                <w:i w:val="0"/>
                <w:sz w:val="16"/>
              </w:rPr>
              <w:t xml:space="preserve"> → </w:t>
            </w:r>
            <w:r>
              <w:rPr>
                <w:rFonts w:ascii="Consolas" w:hAnsi="Consolas"/>
                <w:b w:val="0"/>
                <w:i w:val="0"/>
                <w:color w:val="8B1A3A"/>
                <w:sz w:val="15"/>
              </w:rPr>
              <w:t>ms-estoque</w:t>
            </w:r>
          </w:p>
        </w:tc>
        <w:tc>
          <w:tcPr>
            <w:tcW w:type="dxa" w:w="3572"/>
          </w:tcPr>
          <w:p>
            <w:pPr>
              <w:spacing w:after="0" w:line="240" w:lineRule="auto"/>
              <w:jc w:val="left"/>
            </w:pPr>
            <w:r/>
            <w:r>
              <w:rPr>
                <w:b w:val="0"/>
                <w:i w:val="0"/>
                <w:sz w:val="16"/>
              </w:rPr>
              <w:t>Consultar o saldo antes de reservar; é a chamada interna que a seção 2 desenha na malha (rótulo "saldo, timeout 3 s") e o prazo de 3 s é o da seção 5.6.1</w:t>
            </w:r>
          </w:p>
        </w:tc>
        <w:tc>
          <w:tcPr>
            <w:tcW w:type="dxa" w:w="1134"/>
          </w:tcPr>
          <w:p>
            <w:pPr>
              <w:spacing w:after="0" w:line="240" w:lineRule="auto"/>
              <w:jc w:val="left"/>
            </w:pPr>
            <w:r/>
            <w:r>
              <w:rPr>
                <w:b w:val="0"/>
                <w:i w:val="0"/>
                <w:sz w:val="16"/>
              </w:rPr>
              <w:t>Síncrono REST/HTTPS</w:t>
            </w:r>
          </w:p>
        </w:tc>
        <w:tc>
          <w:tcPr>
            <w:tcW w:type="dxa" w:w="1304"/>
          </w:tcPr>
          <w:p>
            <w:pPr>
              <w:spacing w:after="0" w:line="240" w:lineRule="auto"/>
              <w:jc w:val="left"/>
            </w:pPr>
            <w:r/>
            <w:r>
              <w:rPr>
                <w:b w:val="0"/>
                <w:i w:val="0"/>
                <w:sz w:val="16"/>
              </w:rPr>
              <w:t>—</w:t>
            </w:r>
          </w:p>
        </w:tc>
        <w:tc>
          <w:tcPr>
            <w:tcW w:type="dxa" w:w="1247"/>
          </w:tcPr>
          <w:p>
            <w:pPr>
              <w:spacing w:after="0" w:line="240" w:lineRule="auto"/>
              <w:jc w:val="left"/>
            </w:pPr>
            <w:r/>
            <w:r>
              <w:rPr>
                <w:rFonts w:ascii="Consolas" w:hAnsi="Consolas"/>
                <w:b w:val="0"/>
                <w:i w:val="0"/>
                <w:color w:val="8B1A3A"/>
                <w:sz w:val="15"/>
              </w:rPr>
              <w:t>GET /v1/estoque/posicoes?produtoId=...</w:t>
            </w:r>
          </w:p>
        </w:tc>
      </w:tr>
      <w:tr>
        <w:tc>
          <w:tcPr>
            <w:tcW w:type="dxa" w:w="2381"/>
          </w:tcPr>
          <w:p>
            <w:pPr>
              <w:spacing w:after="0" w:line="240" w:lineRule="auto"/>
              <w:jc w:val="left"/>
            </w:pPr>
            <w:r/>
            <w:r>
              <w:rPr>
                <w:rFonts w:ascii="Consolas" w:hAnsi="Consolas"/>
                <w:b w:val="0"/>
                <w:i w:val="0"/>
                <w:color w:val="8B1A3A"/>
                <w:sz w:val="15"/>
              </w:rPr>
              <w:t>ms-pedidos</w:t>
            </w:r>
            <w:r>
              <w:rPr>
                <w:b w:val="0"/>
                <w:i w:val="0"/>
                <w:sz w:val="16"/>
              </w:rPr>
              <w:t xml:space="preserve"> → </w:t>
            </w:r>
            <w:r>
              <w:rPr>
                <w:rFonts w:ascii="Consolas" w:hAnsi="Consolas"/>
                <w:b w:val="0"/>
                <w:i w:val="0"/>
                <w:color w:val="8B1A3A"/>
                <w:sz w:val="15"/>
              </w:rPr>
              <w:t>ms-clientes</w:t>
            </w:r>
          </w:p>
        </w:tc>
        <w:tc>
          <w:tcPr>
            <w:tcW w:type="dxa" w:w="3572"/>
          </w:tcPr>
          <w:p>
            <w:pPr>
              <w:spacing w:after="0" w:line="240" w:lineRule="auto"/>
              <w:jc w:val="left"/>
            </w:pPr>
            <w:r/>
            <w:r>
              <w:rPr>
                <w:b w:val="0"/>
                <w:i w:val="0"/>
                <w:sz w:val="16"/>
              </w:rPr>
              <w:t>Validar cliente, endereço e consentimento necessário à venda</w:t>
            </w:r>
          </w:p>
        </w:tc>
        <w:tc>
          <w:tcPr>
            <w:tcW w:type="dxa" w:w="1134"/>
          </w:tcPr>
          <w:p>
            <w:pPr>
              <w:spacing w:after="0" w:line="240" w:lineRule="auto"/>
              <w:jc w:val="left"/>
            </w:pPr>
            <w:r/>
            <w:r>
              <w:rPr>
                <w:b w:val="0"/>
                <w:i w:val="0"/>
                <w:sz w:val="16"/>
              </w:rPr>
              <w:t>Síncrono REST/HTTPS</w:t>
            </w:r>
          </w:p>
        </w:tc>
        <w:tc>
          <w:tcPr>
            <w:tcW w:type="dxa" w:w="1304"/>
          </w:tcPr>
          <w:p>
            <w:pPr>
              <w:spacing w:after="0" w:line="240" w:lineRule="auto"/>
              <w:jc w:val="left"/>
            </w:pPr>
            <w:r/>
            <w:r>
              <w:rPr>
                <w:b w:val="0"/>
                <w:i w:val="0"/>
                <w:sz w:val="16"/>
              </w:rPr>
              <w:t>—</w:t>
            </w:r>
          </w:p>
        </w:tc>
        <w:tc>
          <w:tcPr>
            <w:tcW w:type="dxa" w:w="1247"/>
          </w:tcPr>
          <w:p>
            <w:pPr>
              <w:spacing w:after="0" w:line="240" w:lineRule="auto"/>
              <w:jc w:val="left"/>
            </w:pPr>
            <w:r/>
            <w:r>
              <w:rPr>
                <w:rFonts w:ascii="Consolas" w:hAnsi="Consolas"/>
                <w:b w:val="0"/>
                <w:i w:val="0"/>
                <w:color w:val="8B1A3A"/>
                <w:sz w:val="15"/>
              </w:rPr>
              <w:t>GET /v1/clientes/{clienteId}/validacao-pedido</w:t>
            </w:r>
          </w:p>
        </w:tc>
      </w:tr>
      <w:tr>
        <w:tc>
          <w:tcPr>
            <w:tcW w:type="dxa" w:w="2381"/>
          </w:tcPr>
          <w:p>
            <w:pPr>
              <w:spacing w:after="0" w:line="240" w:lineRule="auto"/>
              <w:jc w:val="left"/>
            </w:pPr>
            <w:r/>
            <w:r>
              <w:rPr>
                <w:rFonts w:ascii="Consolas" w:hAnsi="Consolas"/>
                <w:b w:val="0"/>
                <w:i w:val="0"/>
                <w:color w:val="8B1A3A"/>
                <w:sz w:val="15"/>
              </w:rPr>
              <w:t>ms-pedidos</w:t>
            </w:r>
            <w:r>
              <w:rPr>
                <w:b w:val="0"/>
                <w:i w:val="0"/>
                <w:sz w:val="16"/>
              </w:rPr>
              <w:t xml:space="preserve"> → Kafka → </w:t>
            </w:r>
            <w:r>
              <w:rPr>
                <w:rFonts w:ascii="Consolas" w:hAnsi="Consolas"/>
                <w:b w:val="0"/>
                <w:i w:val="0"/>
                <w:color w:val="8B1A3A"/>
                <w:sz w:val="15"/>
              </w:rPr>
              <w:t>ms-estoque</w:t>
            </w:r>
            <w:r>
              <w:rPr>
                <w:b w:val="0"/>
                <w:i w:val="0"/>
                <w:sz w:val="16"/>
              </w:rPr>
              <w:t xml:space="preserve">, </w:t>
            </w:r>
            <w:r>
              <w:rPr>
                <w:rFonts w:ascii="Consolas" w:hAnsi="Consolas"/>
                <w:b w:val="0"/>
                <w:i w:val="0"/>
                <w:color w:val="8B1A3A"/>
                <w:sz w:val="15"/>
              </w:rPr>
              <w:t>ms-clientes</w:t>
            </w:r>
            <w:r>
              <w:rPr>
                <w:b w:val="0"/>
                <w:i w:val="0"/>
                <w:sz w:val="16"/>
              </w:rPr>
              <w:t xml:space="preserve"> e </w:t>
            </w:r>
            <w:r>
              <w:rPr>
                <w:rFonts w:ascii="Consolas" w:hAnsi="Consolas"/>
                <w:b w:val="0"/>
                <w:i w:val="0"/>
                <w:color w:val="8B1A3A"/>
                <w:sz w:val="15"/>
              </w:rPr>
              <w:t>ms-analytics</w:t>
            </w:r>
          </w:p>
        </w:tc>
        <w:tc>
          <w:tcPr>
            <w:tcW w:type="dxa" w:w="3572"/>
          </w:tcPr>
          <w:p>
            <w:pPr>
              <w:spacing w:after="0" w:line="240" w:lineRule="auto"/>
              <w:jc w:val="left"/>
            </w:pPr>
            <w:r/>
            <w:r>
              <w:rPr>
                <w:b w:val="0"/>
                <w:i w:val="0"/>
                <w:sz w:val="16"/>
              </w:rPr>
              <w:t>Solicitar reserva sem bloquear o cliente, atualizar o histórico derivado do cliente e alimentar o read-model analítico</w:t>
            </w:r>
          </w:p>
        </w:tc>
        <w:tc>
          <w:tcPr>
            <w:tcW w:type="dxa" w:w="1134"/>
          </w:tcPr>
          <w:p>
            <w:pPr>
              <w:spacing w:after="0" w:line="240" w:lineRule="auto"/>
              <w:jc w:val="left"/>
            </w:pPr>
            <w:r/>
            <w:r>
              <w:rPr>
                <w:b w:val="0"/>
                <w:i w:val="0"/>
                <w:sz w:val="16"/>
              </w:rPr>
              <w:t>Assíncrono Kafka</w:t>
            </w:r>
          </w:p>
        </w:tc>
        <w:tc>
          <w:tcPr>
            <w:tcW w:type="dxa" w:w="1304"/>
          </w:tcPr>
          <w:p>
            <w:pPr>
              <w:spacing w:after="0" w:line="240" w:lineRule="auto"/>
              <w:jc w:val="left"/>
            </w:pPr>
            <w:r/>
            <w:r>
              <w:rPr>
                <w:rFonts w:ascii="Consolas" w:hAnsi="Consolas"/>
                <w:b w:val="0"/>
                <w:i w:val="0"/>
                <w:color w:val="8B1A3A"/>
                <w:sz w:val="15"/>
              </w:rPr>
              <w:t>pedido.criado</w:t>
            </w:r>
          </w:p>
        </w:tc>
        <w:tc>
          <w:tcPr>
            <w:tcW w:type="dxa" w:w="1247"/>
          </w:tcPr>
          <w:p>
            <w:pPr>
              <w:spacing w:after="0" w:line="240" w:lineRule="auto"/>
              <w:jc w:val="left"/>
            </w:pPr>
            <w:r/>
            <w:r>
              <w:rPr>
                <w:b w:val="0"/>
                <w:i w:val="0"/>
                <w:sz w:val="16"/>
              </w:rPr>
              <w:t>—</w:t>
            </w:r>
          </w:p>
        </w:tc>
      </w:tr>
      <w:tr>
        <w:tc>
          <w:tcPr>
            <w:tcW w:type="dxa" w:w="2381"/>
          </w:tcPr>
          <w:p>
            <w:pPr>
              <w:spacing w:after="0" w:line="240" w:lineRule="auto"/>
              <w:jc w:val="left"/>
            </w:pPr>
            <w:r/>
            <w:r>
              <w:rPr>
                <w:rFonts w:ascii="Consolas" w:hAnsi="Consolas"/>
                <w:b w:val="0"/>
                <w:i w:val="0"/>
                <w:color w:val="8B1A3A"/>
                <w:sz w:val="15"/>
              </w:rPr>
              <w:t>ms-estoque</w:t>
            </w:r>
            <w:r>
              <w:rPr>
                <w:b w:val="0"/>
                <w:i w:val="0"/>
                <w:sz w:val="16"/>
              </w:rPr>
              <w:t xml:space="preserve"> → Kafka → </w:t>
            </w:r>
            <w:r>
              <w:rPr>
                <w:rFonts w:ascii="Consolas" w:hAnsi="Consolas"/>
                <w:b w:val="0"/>
                <w:i w:val="0"/>
                <w:color w:val="8B1A3A"/>
                <w:sz w:val="15"/>
              </w:rPr>
              <w:t>ms-pagamentos</w:t>
            </w:r>
            <w:r>
              <w:rPr>
                <w:b w:val="0"/>
                <w:i w:val="0"/>
                <w:sz w:val="16"/>
              </w:rPr>
              <w:t xml:space="preserve">, </w:t>
            </w:r>
            <w:r>
              <w:rPr>
                <w:rFonts w:ascii="Consolas" w:hAnsi="Consolas"/>
                <w:b w:val="0"/>
                <w:i w:val="0"/>
                <w:color w:val="8B1A3A"/>
                <w:sz w:val="15"/>
              </w:rPr>
              <w:t>ms-pedidos</w:t>
            </w:r>
            <w:r>
              <w:rPr>
                <w:b w:val="0"/>
                <w:i w:val="0"/>
                <w:sz w:val="16"/>
              </w:rPr>
              <w:t xml:space="preserve"> e </w:t>
            </w:r>
            <w:r>
              <w:rPr>
                <w:rFonts w:ascii="Consolas" w:hAnsi="Consolas"/>
                <w:b w:val="0"/>
                <w:i w:val="0"/>
                <w:color w:val="8B1A3A"/>
                <w:sz w:val="15"/>
              </w:rPr>
              <w:t>ms-analytics</w:t>
            </w:r>
          </w:p>
        </w:tc>
        <w:tc>
          <w:tcPr>
            <w:tcW w:type="dxa" w:w="3572"/>
          </w:tcPr>
          <w:p>
            <w:pPr>
              <w:spacing w:after="0" w:line="240" w:lineRule="auto"/>
              <w:jc w:val="left"/>
            </w:pPr>
            <w:r/>
            <w:r>
              <w:rPr>
                <w:b w:val="0"/>
                <w:i w:val="0"/>
                <w:sz w:val="16"/>
              </w:rPr>
              <w:t>Liberar a cobrança depois da reserva, atualizar o pedido e alimentar o read-model analítico</w:t>
            </w:r>
          </w:p>
        </w:tc>
        <w:tc>
          <w:tcPr>
            <w:tcW w:type="dxa" w:w="1134"/>
          </w:tcPr>
          <w:p>
            <w:pPr>
              <w:spacing w:after="0" w:line="240" w:lineRule="auto"/>
              <w:jc w:val="left"/>
            </w:pPr>
            <w:r/>
            <w:r>
              <w:rPr>
                <w:b w:val="0"/>
                <w:i w:val="0"/>
                <w:sz w:val="16"/>
              </w:rPr>
              <w:t>Assíncrono Kafka</w:t>
            </w:r>
          </w:p>
        </w:tc>
        <w:tc>
          <w:tcPr>
            <w:tcW w:type="dxa" w:w="1304"/>
          </w:tcPr>
          <w:p>
            <w:pPr>
              <w:spacing w:after="0" w:line="240" w:lineRule="auto"/>
              <w:jc w:val="left"/>
            </w:pPr>
            <w:r/>
            <w:r>
              <w:rPr>
                <w:rFonts w:ascii="Consolas" w:hAnsi="Consolas"/>
                <w:b w:val="0"/>
                <w:i w:val="0"/>
                <w:color w:val="8B1A3A"/>
                <w:sz w:val="15"/>
              </w:rPr>
              <w:t>estoque.reservado</w:t>
            </w:r>
          </w:p>
        </w:tc>
        <w:tc>
          <w:tcPr>
            <w:tcW w:type="dxa" w:w="1247"/>
          </w:tcPr>
          <w:p>
            <w:pPr>
              <w:spacing w:after="0" w:line="240" w:lineRule="auto"/>
              <w:jc w:val="left"/>
            </w:pPr>
            <w:r/>
            <w:r>
              <w:rPr>
                <w:b w:val="0"/>
                <w:i w:val="0"/>
                <w:sz w:val="16"/>
              </w:rPr>
              <w:t>—</w:t>
            </w:r>
          </w:p>
        </w:tc>
      </w:tr>
      <w:tr>
        <w:tc>
          <w:tcPr>
            <w:tcW w:type="dxa" w:w="2381"/>
          </w:tcPr>
          <w:p>
            <w:pPr>
              <w:spacing w:after="0" w:line="240" w:lineRule="auto"/>
              <w:jc w:val="left"/>
            </w:pPr>
            <w:r/>
            <w:r>
              <w:rPr>
                <w:rFonts w:ascii="Consolas" w:hAnsi="Consolas"/>
                <w:b w:val="0"/>
                <w:i w:val="0"/>
                <w:color w:val="8B1A3A"/>
                <w:sz w:val="15"/>
              </w:rPr>
              <w:t>ms-pagamentos</w:t>
            </w:r>
            <w:r>
              <w:rPr>
                <w:b w:val="0"/>
                <w:i w:val="0"/>
                <w:sz w:val="16"/>
              </w:rPr>
              <w:t xml:space="preserve"> → Kafka → </w:t>
            </w:r>
            <w:r>
              <w:rPr>
                <w:rFonts w:ascii="Consolas" w:hAnsi="Consolas"/>
                <w:b w:val="0"/>
                <w:i w:val="0"/>
                <w:color w:val="8B1A3A"/>
                <w:sz w:val="15"/>
              </w:rPr>
              <w:t>ms-pedidos</w:t>
            </w:r>
            <w:r>
              <w:rPr>
                <w:b w:val="0"/>
                <w:i w:val="0"/>
                <w:sz w:val="16"/>
              </w:rPr>
              <w:t xml:space="preserve">, </w:t>
            </w:r>
            <w:r>
              <w:rPr>
                <w:rFonts w:ascii="Consolas" w:hAnsi="Consolas"/>
                <w:b w:val="0"/>
                <w:i w:val="0"/>
                <w:color w:val="8B1A3A"/>
                <w:sz w:val="15"/>
              </w:rPr>
              <w:t>ms-estoque</w:t>
            </w:r>
            <w:r>
              <w:rPr>
                <w:b w:val="0"/>
                <w:i w:val="0"/>
                <w:sz w:val="16"/>
              </w:rPr>
              <w:t xml:space="preserve"> e </w:t>
            </w:r>
            <w:r>
              <w:rPr>
                <w:rFonts w:ascii="Consolas" w:hAnsi="Consolas"/>
                <w:b w:val="0"/>
                <w:i w:val="0"/>
                <w:color w:val="8B1A3A"/>
                <w:sz w:val="15"/>
              </w:rPr>
              <w:t>ms-analytics</w:t>
            </w:r>
          </w:p>
        </w:tc>
        <w:tc>
          <w:tcPr>
            <w:tcW w:type="dxa" w:w="3572"/>
          </w:tcPr>
          <w:p>
            <w:pPr>
              <w:spacing w:after="0" w:line="240" w:lineRule="auto"/>
              <w:jc w:val="left"/>
            </w:pPr>
            <w:r/>
            <w:r>
              <w:rPr>
                <w:b w:val="0"/>
                <w:i w:val="0"/>
                <w:sz w:val="16"/>
              </w:rPr>
              <w:t>Informar resultado da cobrança; confirmar, compensar e alimentar o read-model analítico</w:t>
            </w:r>
          </w:p>
        </w:tc>
        <w:tc>
          <w:tcPr>
            <w:tcW w:type="dxa" w:w="1134"/>
          </w:tcPr>
          <w:p>
            <w:pPr>
              <w:spacing w:after="0" w:line="240" w:lineRule="auto"/>
              <w:jc w:val="left"/>
            </w:pPr>
            <w:r/>
            <w:r>
              <w:rPr>
                <w:b w:val="0"/>
                <w:i w:val="0"/>
                <w:sz w:val="16"/>
              </w:rPr>
              <w:t>Assíncrono Kafka</w:t>
            </w:r>
          </w:p>
        </w:tc>
        <w:tc>
          <w:tcPr>
            <w:tcW w:type="dxa" w:w="1304"/>
          </w:tcPr>
          <w:p>
            <w:pPr>
              <w:spacing w:after="0" w:line="240" w:lineRule="auto"/>
              <w:jc w:val="left"/>
            </w:pPr>
            <w:r/>
            <w:r>
              <w:rPr>
                <w:rFonts w:ascii="Consolas" w:hAnsi="Consolas"/>
                <w:b w:val="0"/>
                <w:i w:val="0"/>
                <w:color w:val="8B1A3A"/>
                <w:sz w:val="15"/>
              </w:rPr>
              <w:t>pagamento.aprovado</w:t>
            </w:r>
            <w:r>
              <w:rPr>
                <w:b w:val="0"/>
                <w:i w:val="0"/>
                <w:sz w:val="16"/>
              </w:rPr>
              <w:t xml:space="preserve"> ou </w:t>
            </w:r>
            <w:r>
              <w:rPr>
                <w:rFonts w:ascii="Consolas" w:hAnsi="Consolas"/>
                <w:b w:val="0"/>
                <w:i w:val="0"/>
                <w:color w:val="8B1A3A"/>
                <w:sz w:val="15"/>
              </w:rPr>
              <w:t>pagamento.recusado</w:t>
            </w:r>
          </w:p>
        </w:tc>
        <w:tc>
          <w:tcPr>
            <w:tcW w:type="dxa" w:w="1247"/>
          </w:tcPr>
          <w:p>
            <w:pPr>
              <w:spacing w:after="0" w:line="240" w:lineRule="auto"/>
              <w:jc w:val="left"/>
            </w:pPr>
            <w:r/>
            <w:r>
              <w:rPr>
                <w:b w:val="0"/>
                <w:i w:val="0"/>
                <w:sz w:val="16"/>
              </w:rPr>
              <w:t>—</w:t>
            </w:r>
          </w:p>
        </w:tc>
      </w:tr>
      <w:tr>
        <w:tc>
          <w:tcPr>
            <w:tcW w:type="dxa" w:w="2381"/>
          </w:tcPr>
          <w:p>
            <w:pPr>
              <w:spacing w:after="0" w:line="240" w:lineRule="auto"/>
              <w:jc w:val="left"/>
            </w:pPr>
            <w:r/>
            <w:r>
              <w:rPr>
                <w:rFonts w:ascii="Consolas" w:hAnsi="Consolas"/>
                <w:b w:val="0"/>
                <w:i w:val="0"/>
                <w:color w:val="8B1A3A"/>
                <w:sz w:val="15"/>
              </w:rPr>
              <w:t>ms-pedidos</w:t>
            </w:r>
            <w:r>
              <w:rPr>
                <w:b w:val="0"/>
                <w:i w:val="0"/>
                <w:sz w:val="16"/>
              </w:rPr>
              <w:t xml:space="preserve"> → Kafka → </w:t>
            </w:r>
            <w:r>
              <w:rPr>
                <w:rFonts w:ascii="Consolas" w:hAnsi="Consolas"/>
                <w:b w:val="0"/>
                <w:i w:val="0"/>
                <w:color w:val="8B1A3A"/>
                <w:sz w:val="15"/>
              </w:rPr>
              <w:t>ms-notificacoes</w:t>
            </w:r>
            <w:r>
              <w:rPr>
                <w:b w:val="0"/>
                <w:i w:val="0"/>
                <w:sz w:val="16"/>
              </w:rPr>
              <w:t xml:space="preserve"> e </w:t>
            </w:r>
            <w:r>
              <w:rPr>
                <w:rFonts w:ascii="Consolas" w:hAnsi="Consolas"/>
                <w:b w:val="0"/>
                <w:i w:val="0"/>
                <w:color w:val="8B1A3A"/>
                <w:sz w:val="15"/>
              </w:rPr>
              <w:t>ms-analytics</w:t>
            </w:r>
          </w:p>
        </w:tc>
        <w:tc>
          <w:tcPr>
            <w:tcW w:type="dxa" w:w="3572"/>
          </w:tcPr>
          <w:p>
            <w:pPr>
              <w:spacing w:after="0" w:line="240" w:lineRule="auto"/>
              <w:jc w:val="left"/>
            </w:pPr>
            <w:r/>
            <w:r>
              <w:rPr>
                <w:b w:val="0"/>
                <w:i w:val="0"/>
                <w:sz w:val="16"/>
              </w:rPr>
              <w:t>Avisar criação, confirmação ou cancelamento e registrar o fato no read-model analítico sem atrasar a resposta do pedido</w:t>
            </w:r>
          </w:p>
        </w:tc>
        <w:tc>
          <w:tcPr>
            <w:tcW w:type="dxa" w:w="1134"/>
          </w:tcPr>
          <w:p>
            <w:pPr>
              <w:spacing w:after="0" w:line="240" w:lineRule="auto"/>
              <w:jc w:val="left"/>
            </w:pPr>
            <w:r/>
            <w:r>
              <w:rPr>
                <w:b w:val="0"/>
                <w:i w:val="0"/>
                <w:sz w:val="16"/>
              </w:rPr>
              <w:t>Assíncrono Kafka</w:t>
            </w:r>
          </w:p>
        </w:tc>
        <w:tc>
          <w:tcPr>
            <w:tcW w:type="dxa" w:w="1304"/>
          </w:tcPr>
          <w:p>
            <w:pPr>
              <w:spacing w:after="0" w:line="240" w:lineRule="auto"/>
              <w:jc w:val="left"/>
            </w:pPr>
            <w:r/>
            <w:r>
              <w:rPr>
                <w:rFonts w:ascii="Consolas" w:hAnsi="Consolas"/>
                <w:b w:val="0"/>
                <w:i w:val="0"/>
                <w:color w:val="8B1A3A"/>
                <w:sz w:val="15"/>
              </w:rPr>
              <w:t>notificacao.enviar</w:t>
            </w:r>
          </w:p>
        </w:tc>
        <w:tc>
          <w:tcPr>
            <w:tcW w:type="dxa" w:w="1247"/>
          </w:tcPr>
          <w:p>
            <w:pPr>
              <w:spacing w:after="0" w:line="240" w:lineRule="auto"/>
              <w:jc w:val="left"/>
            </w:pPr>
            <w:r/>
            <w:r>
              <w:rPr>
                <w:b w:val="0"/>
                <w:i w:val="0"/>
                <w:sz w:val="16"/>
              </w:rPr>
              <w:t>—</w:t>
            </w:r>
          </w:p>
        </w:tc>
      </w:tr>
      <w:tr>
        <w:tc>
          <w:tcPr>
            <w:tcW w:type="dxa" w:w="2381"/>
          </w:tcPr>
          <w:p>
            <w:pPr>
              <w:spacing w:after="0" w:line="240" w:lineRule="auto"/>
              <w:jc w:val="left"/>
            </w:pPr>
            <w:r/>
            <w:r>
              <w:rPr>
                <w:rFonts w:ascii="Consolas" w:hAnsi="Consolas"/>
                <w:b w:val="0"/>
                <w:i w:val="0"/>
                <w:color w:val="8B1A3A"/>
                <w:sz w:val="15"/>
              </w:rPr>
              <w:t>ms-pagamentos</w:t>
            </w:r>
            <w:r>
              <w:rPr>
                <w:b w:val="0"/>
                <w:i w:val="0"/>
                <w:sz w:val="16"/>
              </w:rPr>
              <w:t xml:space="preserve"> → </w:t>
            </w:r>
            <w:r>
              <w:rPr>
                <w:rFonts w:ascii="Consolas" w:hAnsi="Consolas"/>
                <w:b w:val="0"/>
                <w:i w:val="0"/>
                <w:color w:val="8B1A3A"/>
                <w:sz w:val="15"/>
              </w:rPr>
              <w:t>ms-pedidos</w:t>
            </w:r>
          </w:p>
        </w:tc>
        <w:tc>
          <w:tcPr>
            <w:tcW w:type="dxa" w:w="3572"/>
          </w:tcPr>
          <w:p>
            <w:pPr>
              <w:spacing w:after="0" w:line="240" w:lineRule="auto"/>
              <w:jc w:val="left"/>
            </w:pPr>
            <w:r/>
            <w:r>
              <w:rPr>
                <w:b w:val="0"/>
                <w:i w:val="0"/>
                <w:sz w:val="16"/>
              </w:rPr>
              <w:t>Consulta administrativa de status e conciliação, quando uma leitura imediata for necessária</w:t>
            </w:r>
          </w:p>
        </w:tc>
        <w:tc>
          <w:tcPr>
            <w:tcW w:type="dxa" w:w="1134"/>
          </w:tcPr>
          <w:p>
            <w:pPr>
              <w:spacing w:after="0" w:line="240" w:lineRule="auto"/>
              <w:jc w:val="left"/>
            </w:pPr>
            <w:r/>
            <w:r>
              <w:rPr>
                <w:b w:val="0"/>
                <w:i w:val="0"/>
                <w:sz w:val="16"/>
              </w:rPr>
              <w:t>Síncrono REST/HTTPS</w:t>
            </w:r>
          </w:p>
        </w:tc>
        <w:tc>
          <w:tcPr>
            <w:tcW w:type="dxa" w:w="1304"/>
          </w:tcPr>
          <w:p>
            <w:pPr>
              <w:spacing w:after="0" w:line="240" w:lineRule="auto"/>
              <w:jc w:val="left"/>
            </w:pPr>
            <w:r/>
            <w:r>
              <w:rPr>
                <w:b w:val="0"/>
                <w:i w:val="0"/>
                <w:sz w:val="16"/>
              </w:rPr>
              <w:t>—</w:t>
            </w:r>
          </w:p>
        </w:tc>
        <w:tc>
          <w:tcPr>
            <w:tcW w:type="dxa" w:w="1247"/>
          </w:tcPr>
          <w:p>
            <w:pPr>
              <w:spacing w:after="0" w:line="240" w:lineRule="auto"/>
              <w:jc w:val="left"/>
            </w:pPr>
            <w:r/>
            <w:r>
              <w:rPr>
                <w:rFonts w:ascii="Consolas" w:hAnsi="Consolas"/>
                <w:b w:val="0"/>
                <w:i w:val="0"/>
                <w:color w:val="8B1A3A"/>
                <w:sz w:val="15"/>
              </w:rPr>
              <w:t>GET /v1/pagamentos/{pedidoId}</w:t>
            </w:r>
          </w:p>
        </w:tc>
      </w:tr>
      <w:tr>
        <w:tc>
          <w:tcPr>
            <w:tcW w:type="dxa" w:w="2381"/>
          </w:tcPr>
          <w:p>
            <w:pPr>
              <w:spacing w:after="0" w:line="240" w:lineRule="auto"/>
              <w:jc w:val="left"/>
            </w:pPr>
            <w:r/>
            <w:r>
              <w:rPr>
                <w:rFonts w:ascii="Consolas" w:hAnsi="Consolas"/>
                <w:b w:val="0"/>
                <w:i w:val="0"/>
                <w:color w:val="8B1A3A"/>
                <w:sz w:val="15"/>
              </w:rPr>
              <w:t>ms-lotes</w:t>
            </w:r>
            <w:r>
              <w:rPr>
                <w:b w:val="0"/>
                <w:i w:val="0"/>
                <w:sz w:val="16"/>
              </w:rPr>
              <w:t xml:space="preserve"> → Kafka → </w:t>
            </w:r>
            <w:r>
              <w:rPr>
                <w:rFonts w:ascii="Consolas" w:hAnsi="Consolas"/>
                <w:b w:val="0"/>
                <w:i w:val="0"/>
                <w:color w:val="8B1A3A"/>
                <w:sz w:val="15"/>
              </w:rPr>
              <w:t>ms-estoque</w:t>
            </w:r>
            <w:r>
              <w:rPr>
                <w:b w:val="0"/>
                <w:i w:val="0"/>
                <w:sz w:val="16"/>
              </w:rPr>
              <w:t xml:space="preserve">, </w:t>
            </w:r>
            <w:r>
              <w:rPr>
                <w:rFonts w:ascii="Consolas" w:hAnsi="Consolas"/>
                <w:b w:val="0"/>
                <w:i w:val="0"/>
                <w:color w:val="8B1A3A"/>
                <w:sz w:val="15"/>
              </w:rPr>
              <w:t>ms-catalogo</w:t>
            </w:r>
            <w:r>
              <w:rPr>
                <w:b w:val="0"/>
                <w:i w:val="0"/>
                <w:sz w:val="16"/>
              </w:rPr>
              <w:t xml:space="preserve">, </w:t>
            </w:r>
            <w:r>
              <w:rPr>
                <w:rFonts w:ascii="Consolas" w:hAnsi="Consolas"/>
                <w:b w:val="0"/>
                <w:i w:val="0"/>
                <w:color w:val="8B1A3A"/>
                <w:sz w:val="15"/>
              </w:rPr>
              <w:t>ms-qualidade</w:t>
            </w:r>
            <w:r>
              <w:rPr>
                <w:b w:val="0"/>
                <w:i w:val="0"/>
                <w:sz w:val="16"/>
              </w:rPr>
              <w:t xml:space="preserve"> e </w:t>
            </w:r>
            <w:r>
              <w:rPr>
                <w:rFonts w:ascii="Consolas" w:hAnsi="Consolas"/>
                <w:b w:val="0"/>
                <w:i w:val="0"/>
                <w:color w:val="8B1A3A"/>
                <w:sz w:val="15"/>
              </w:rPr>
              <w:t>ms-analytics</w:t>
            </w:r>
          </w:p>
        </w:tc>
        <w:tc>
          <w:tcPr>
            <w:tcW w:type="dxa" w:w="3572"/>
          </w:tcPr>
          <w:p>
            <w:pPr>
              <w:spacing w:after="0" w:line="240" w:lineRule="auto"/>
              <w:jc w:val="left"/>
            </w:pPr>
            <w:r/>
            <w:r>
              <w:rPr>
                <w:b w:val="0"/>
                <w:i w:val="0"/>
                <w:sz w:val="16"/>
              </w:rPr>
              <w:t xml:space="preserve">Criar o registro de rastreabilidade no engarrafamento e avisar quem depende do lote novo (o </w:t>
            </w:r>
            <w:r>
              <w:rPr>
                <w:rFonts w:ascii="Consolas" w:hAnsi="Consolas"/>
                <w:b w:val="0"/>
                <w:i w:val="0"/>
                <w:color w:val="8B1A3A"/>
                <w:sz w:val="15"/>
              </w:rPr>
              <w:t>ms-lotes</w:t>
            </w:r>
            <w:r>
              <w:rPr>
                <w:b w:val="0"/>
                <w:i w:val="0"/>
                <w:sz w:val="16"/>
              </w:rPr>
              <w:t xml:space="preserve"> é dono de Lote, Genealogia e QR pela seção 1.1.4</w:t>
            </w:r>
          </w:p>
        </w:tc>
        <w:tc>
          <w:tcPr>
            <w:tcW w:type="dxa" w:w="1134"/>
          </w:tcPr>
          <w:p>
            <w:pPr>
              <w:spacing w:after="0" w:line="240" w:lineRule="auto"/>
              <w:jc w:val="left"/>
            </w:pPr>
            <w:r/>
            <w:r>
              <w:rPr>
                <w:b w:val="0"/>
                <w:i w:val="0"/>
                <w:sz w:val="16"/>
              </w:rPr>
              <w:t>Assíncrono Kafka</w:t>
            </w:r>
          </w:p>
        </w:tc>
        <w:tc>
          <w:tcPr>
            <w:tcW w:type="dxa" w:w="1304"/>
          </w:tcPr>
          <w:p>
            <w:pPr>
              <w:spacing w:after="0" w:line="240" w:lineRule="auto"/>
              <w:jc w:val="left"/>
            </w:pPr>
            <w:r/>
            <w:r>
              <w:rPr>
                <w:rFonts w:ascii="Consolas" w:hAnsi="Consolas"/>
                <w:b w:val="0"/>
                <w:i w:val="0"/>
                <w:color w:val="8B1A3A"/>
                <w:sz w:val="15"/>
              </w:rPr>
              <w:t>lote.criado</w:t>
            </w:r>
          </w:p>
        </w:tc>
        <w:tc>
          <w:tcPr>
            <w:tcW w:type="dxa" w:w="1247"/>
          </w:tcPr>
          <w:p>
            <w:pPr>
              <w:spacing w:after="0" w:line="240" w:lineRule="auto"/>
              <w:jc w:val="left"/>
            </w:pPr>
            <w:r/>
            <w:r>
              <w:rPr>
                <w:b w:val="0"/>
                <w:i w:val="0"/>
                <w:sz w:val="16"/>
              </w:rPr>
              <w:t>—</w:t>
            </w:r>
          </w:p>
        </w:tc>
      </w:tr>
      <w:tr>
        <w:tc>
          <w:tcPr>
            <w:tcW w:type="dxa" w:w="2381"/>
          </w:tcPr>
          <w:p>
            <w:pPr>
              <w:spacing w:after="0" w:line="240" w:lineRule="auto"/>
              <w:jc w:val="left"/>
            </w:pPr>
            <w:r/>
            <w:r>
              <w:rPr>
                <w:rFonts w:ascii="Consolas" w:hAnsi="Consolas"/>
                <w:b w:val="0"/>
                <w:i w:val="0"/>
                <w:color w:val="8B1A3A"/>
                <w:sz w:val="15"/>
              </w:rPr>
              <w:t>ms-fornecedores</w:t>
            </w:r>
            <w:r>
              <w:rPr>
                <w:b w:val="0"/>
                <w:i w:val="0"/>
                <w:sz w:val="16"/>
              </w:rPr>
              <w:t xml:space="preserve"> → Kafka → </w:t>
            </w:r>
            <w:r>
              <w:rPr>
                <w:rFonts w:ascii="Consolas" w:hAnsi="Consolas"/>
                <w:b w:val="0"/>
                <w:i w:val="0"/>
                <w:color w:val="8B1A3A"/>
                <w:sz w:val="15"/>
              </w:rPr>
              <w:t>ms-estoque</w:t>
            </w:r>
            <w:r>
              <w:rPr>
                <w:b w:val="0"/>
                <w:i w:val="0"/>
                <w:sz w:val="16"/>
              </w:rPr>
              <w:t xml:space="preserve"> e </w:t>
            </w:r>
            <w:r>
              <w:rPr>
                <w:rFonts w:ascii="Consolas" w:hAnsi="Consolas"/>
                <w:b w:val="0"/>
                <w:i w:val="0"/>
                <w:color w:val="8B1A3A"/>
                <w:sz w:val="15"/>
              </w:rPr>
              <w:t>ms-analytics</w:t>
            </w:r>
          </w:p>
        </w:tc>
        <w:tc>
          <w:tcPr>
            <w:tcW w:type="dxa" w:w="3572"/>
          </w:tcPr>
          <w:p>
            <w:pPr>
              <w:spacing w:after="0" w:line="240" w:lineRule="auto"/>
              <w:jc w:val="left"/>
            </w:pPr>
            <w:r/>
            <w:r>
              <w:rPr>
                <w:b w:val="0"/>
                <w:i w:val="0"/>
                <w:sz w:val="16"/>
              </w:rPr>
              <w:t xml:space="preserve">Informar recebimento conferido; o </w:t>
            </w:r>
            <w:r>
              <w:rPr>
                <w:rFonts w:ascii="Consolas" w:hAnsi="Consolas"/>
                <w:b w:val="0"/>
                <w:i w:val="0"/>
                <w:color w:val="8B1A3A"/>
                <w:sz w:val="15"/>
              </w:rPr>
              <w:t>ms-estoque</w:t>
            </w:r>
            <w:r>
              <w:rPr>
                <w:b w:val="0"/>
                <w:i w:val="0"/>
                <w:sz w:val="16"/>
              </w:rPr>
              <w:t xml:space="preserve"> registra a entrada e o analytics atualiza seus indicadores</w:t>
            </w:r>
          </w:p>
        </w:tc>
        <w:tc>
          <w:tcPr>
            <w:tcW w:type="dxa" w:w="1134"/>
          </w:tcPr>
          <w:p>
            <w:pPr>
              <w:spacing w:after="0" w:line="240" w:lineRule="auto"/>
              <w:jc w:val="left"/>
            </w:pPr>
            <w:r/>
            <w:r>
              <w:rPr>
                <w:b w:val="0"/>
                <w:i w:val="0"/>
                <w:sz w:val="16"/>
              </w:rPr>
              <w:t>Assíncrono Kafka</w:t>
            </w:r>
          </w:p>
        </w:tc>
        <w:tc>
          <w:tcPr>
            <w:tcW w:type="dxa" w:w="1304"/>
          </w:tcPr>
          <w:p>
            <w:pPr>
              <w:spacing w:after="0" w:line="240" w:lineRule="auto"/>
              <w:jc w:val="left"/>
            </w:pPr>
            <w:r/>
            <w:r>
              <w:rPr>
                <w:rFonts w:ascii="Consolas" w:hAnsi="Consolas"/>
                <w:b w:val="0"/>
                <w:i w:val="0"/>
                <w:color w:val="8B1A3A"/>
                <w:sz w:val="15"/>
              </w:rPr>
              <w:t>recebimento.confirmado</w:t>
            </w:r>
          </w:p>
        </w:tc>
        <w:tc>
          <w:tcPr>
            <w:tcW w:type="dxa" w:w="1247"/>
          </w:tcPr>
          <w:p>
            <w:pPr>
              <w:spacing w:after="0" w:line="240" w:lineRule="auto"/>
              <w:jc w:val="left"/>
            </w:pPr>
            <w:r/>
            <w:r>
              <w:rPr>
                <w:b w:val="0"/>
                <w:i w:val="0"/>
                <w:sz w:val="16"/>
              </w:rPr>
              <w:t>—</w:t>
            </w:r>
          </w:p>
        </w:tc>
      </w:tr>
      <w:tr>
        <w:tc>
          <w:tcPr>
            <w:tcW w:type="dxa" w:w="2381"/>
          </w:tcPr>
          <w:p>
            <w:pPr>
              <w:spacing w:after="0" w:line="240" w:lineRule="auto"/>
              <w:jc w:val="left"/>
            </w:pPr>
            <w:r/>
            <w:r>
              <w:rPr>
                <w:b w:val="0"/>
                <w:i w:val="0"/>
                <w:sz w:val="16"/>
              </w:rPr>
              <w:t xml:space="preserve">Bridge MQTT → Kafka → </w:t>
            </w:r>
            <w:r>
              <w:rPr>
                <w:rFonts w:ascii="Consolas" w:hAnsi="Consolas"/>
                <w:b w:val="0"/>
                <w:i w:val="0"/>
                <w:color w:val="8B1A3A"/>
                <w:sz w:val="15"/>
              </w:rPr>
              <w:t>ms-qualidade</w:t>
            </w:r>
          </w:p>
        </w:tc>
        <w:tc>
          <w:tcPr>
            <w:tcW w:type="dxa" w:w="3572"/>
          </w:tcPr>
          <w:p>
            <w:pPr>
              <w:spacing w:after="0" w:line="240" w:lineRule="auto"/>
              <w:jc w:val="left"/>
            </w:pPr>
            <w:r/>
            <w:r>
              <w:rPr>
                <w:b w:val="0"/>
                <w:i w:val="0"/>
                <w:sz w:val="16"/>
              </w:rPr>
              <w:t>Transformar telemetria em contrato interno de eventos</w:t>
            </w:r>
          </w:p>
        </w:tc>
        <w:tc>
          <w:tcPr>
            <w:tcW w:type="dxa" w:w="1134"/>
          </w:tcPr>
          <w:p>
            <w:pPr>
              <w:spacing w:after="0" w:line="240" w:lineRule="auto"/>
              <w:jc w:val="left"/>
            </w:pPr>
            <w:r/>
            <w:r>
              <w:rPr>
                <w:b w:val="0"/>
                <w:i w:val="0"/>
                <w:sz w:val="16"/>
              </w:rPr>
              <w:t>Assíncrono Kafka</w:t>
            </w:r>
          </w:p>
        </w:tc>
        <w:tc>
          <w:tcPr>
            <w:tcW w:type="dxa" w:w="1304"/>
          </w:tcPr>
          <w:p>
            <w:pPr>
              <w:spacing w:after="0" w:line="240" w:lineRule="auto"/>
              <w:jc w:val="left"/>
            </w:pPr>
            <w:r/>
            <w:r>
              <w:rPr>
                <w:rFonts w:ascii="Consolas" w:hAnsi="Consolas"/>
                <w:b w:val="0"/>
                <w:i w:val="0"/>
                <w:color w:val="8B1A3A"/>
                <w:sz w:val="15"/>
              </w:rPr>
              <w:t>qualidade.leitura</w:t>
            </w:r>
          </w:p>
        </w:tc>
        <w:tc>
          <w:tcPr>
            <w:tcW w:type="dxa" w:w="1247"/>
          </w:tcPr>
          <w:p>
            <w:pPr>
              <w:spacing w:after="0" w:line="240" w:lineRule="auto"/>
              <w:jc w:val="left"/>
            </w:pPr>
            <w:r/>
            <w:r>
              <w:rPr>
                <w:b w:val="0"/>
                <w:i w:val="0"/>
                <w:sz w:val="16"/>
              </w:rPr>
              <w:t>—</w:t>
            </w:r>
          </w:p>
        </w:tc>
      </w:tr>
      <w:tr>
        <w:tc>
          <w:tcPr>
            <w:tcW w:type="dxa" w:w="2381"/>
          </w:tcPr>
          <w:p>
            <w:pPr>
              <w:spacing w:after="0" w:line="240" w:lineRule="auto"/>
              <w:jc w:val="left"/>
            </w:pPr>
            <w:r/>
            <w:r>
              <w:rPr>
                <w:rFonts w:ascii="Consolas" w:hAnsi="Consolas"/>
                <w:b w:val="0"/>
                <w:i w:val="0"/>
                <w:color w:val="8B1A3A"/>
                <w:sz w:val="15"/>
              </w:rPr>
              <w:t>ms-qualidade</w:t>
            </w:r>
            <w:r>
              <w:rPr>
                <w:b w:val="0"/>
                <w:i w:val="0"/>
                <w:sz w:val="16"/>
              </w:rPr>
              <w:t xml:space="preserve"> → Kafka → </w:t>
            </w:r>
            <w:r>
              <w:rPr>
                <w:rFonts w:ascii="Consolas" w:hAnsi="Consolas"/>
                <w:b w:val="0"/>
                <w:i w:val="0"/>
                <w:color w:val="8B1A3A"/>
                <w:sz w:val="15"/>
              </w:rPr>
              <w:t>ms-estoque</w:t>
            </w:r>
            <w:r>
              <w:rPr>
                <w:b w:val="0"/>
                <w:i w:val="0"/>
                <w:sz w:val="16"/>
              </w:rPr>
              <w:t xml:space="preserve">, </w:t>
            </w:r>
            <w:r>
              <w:rPr>
                <w:rFonts w:ascii="Consolas" w:hAnsi="Consolas"/>
                <w:b w:val="0"/>
                <w:i w:val="0"/>
                <w:color w:val="8B1A3A"/>
                <w:sz w:val="15"/>
              </w:rPr>
              <w:t>ms-producao</w:t>
            </w:r>
            <w:r>
              <w:rPr>
                <w:b w:val="0"/>
                <w:i w:val="0"/>
                <w:sz w:val="16"/>
              </w:rPr>
              <w:t xml:space="preserve"> e </w:t>
            </w:r>
            <w:r>
              <w:rPr>
                <w:rFonts w:ascii="Consolas" w:hAnsi="Consolas"/>
                <w:b w:val="0"/>
                <w:i w:val="0"/>
                <w:color w:val="8B1A3A"/>
                <w:sz w:val="15"/>
              </w:rPr>
              <w:t>ms-analytics</w:t>
            </w:r>
          </w:p>
        </w:tc>
        <w:tc>
          <w:tcPr>
            <w:tcW w:type="dxa" w:w="3572"/>
          </w:tcPr>
          <w:p>
            <w:pPr>
              <w:spacing w:after="0" w:line="240" w:lineRule="auto"/>
              <w:jc w:val="left"/>
            </w:pPr>
            <w:r/>
            <w:r>
              <w:rPr>
                <w:b w:val="0"/>
                <w:i w:val="0"/>
                <w:sz w:val="16"/>
              </w:rPr>
              <w:t>Distribuir alerta fora da faixa para ação, operação e histórico</w:t>
            </w:r>
          </w:p>
        </w:tc>
        <w:tc>
          <w:tcPr>
            <w:tcW w:type="dxa" w:w="1134"/>
          </w:tcPr>
          <w:p>
            <w:pPr>
              <w:spacing w:after="0" w:line="240" w:lineRule="auto"/>
              <w:jc w:val="left"/>
            </w:pPr>
            <w:r/>
            <w:r>
              <w:rPr>
                <w:b w:val="0"/>
                <w:i w:val="0"/>
                <w:sz w:val="16"/>
              </w:rPr>
              <w:t>Assíncrono Kafka</w:t>
            </w:r>
          </w:p>
        </w:tc>
        <w:tc>
          <w:tcPr>
            <w:tcW w:type="dxa" w:w="1304"/>
          </w:tcPr>
          <w:p>
            <w:pPr>
              <w:spacing w:after="0" w:line="240" w:lineRule="auto"/>
              <w:jc w:val="left"/>
            </w:pPr>
            <w:r/>
            <w:r>
              <w:rPr>
                <w:rFonts w:ascii="Consolas" w:hAnsi="Consolas"/>
                <w:b w:val="0"/>
                <w:i w:val="0"/>
                <w:color w:val="8B1A3A"/>
                <w:sz w:val="15"/>
              </w:rPr>
              <w:t>qualidade.alerta</w:t>
            </w:r>
          </w:p>
        </w:tc>
        <w:tc>
          <w:tcPr>
            <w:tcW w:type="dxa" w:w="1247"/>
          </w:tcPr>
          <w:p>
            <w:pPr>
              <w:spacing w:after="0" w:line="240" w:lineRule="auto"/>
              <w:jc w:val="left"/>
            </w:pPr>
            <w:r/>
            <w:r>
              <w:rPr>
                <w:b w:val="0"/>
                <w:i w:val="0"/>
                <w:sz w:val="16"/>
              </w:rPr>
              <w:t>—</w:t>
            </w:r>
          </w:p>
        </w:tc>
      </w:tr>
      <w:tr>
        <w:tc>
          <w:tcPr>
            <w:tcW w:type="dxa" w:w="2381"/>
          </w:tcPr>
          <w:p>
            <w:pPr>
              <w:spacing w:after="0" w:line="240" w:lineRule="auto"/>
              <w:jc w:val="left"/>
            </w:pPr>
            <w:r/>
            <w:r>
              <w:rPr>
                <w:rFonts w:ascii="Consolas" w:hAnsi="Consolas"/>
                <w:b w:val="0"/>
                <w:i w:val="0"/>
                <w:color w:val="8B1A3A"/>
                <w:sz w:val="15"/>
              </w:rPr>
              <w:t>ms-qualidade</w:t>
            </w:r>
            <w:r>
              <w:rPr>
                <w:b w:val="0"/>
                <w:i w:val="0"/>
                <w:sz w:val="16"/>
              </w:rPr>
              <w:t xml:space="preserve"> → Kafka → </w:t>
            </w:r>
            <w:r>
              <w:rPr>
                <w:rFonts w:ascii="Consolas" w:hAnsi="Consolas"/>
                <w:b w:val="0"/>
                <w:i w:val="0"/>
                <w:color w:val="8B1A3A"/>
                <w:sz w:val="15"/>
              </w:rPr>
              <w:t>ms-notificacoes</w:t>
            </w:r>
          </w:p>
        </w:tc>
        <w:tc>
          <w:tcPr>
            <w:tcW w:type="dxa" w:w="3572"/>
          </w:tcPr>
          <w:p>
            <w:pPr>
              <w:spacing w:after="0" w:line="240" w:lineRule="auto"/>
              <w:jc w:val="left"/>
            </w:pPr>
            <w:r/>
            <w:r>
              <w:rPr>
                <w:b w:val="0"/>
                <w:i w:val="0"/>
                <w:sz w:val="16"/>
              </w:rPr>
              <w:t>Solicitar aviso operacional sobre uma condição crítica</w:t>
            </w:r>
          </w:p>
        </w:tc>
        <w:tc>
          <w:tcPr>
            <w:tcW w:type="dxa" w:w="1134"/>
          </w:tcPr>
          <w:p>
            <w:pPr>
              <w:spacing w:after="0" w:line="240" w:lineRule="auto"/>
              <w:jc w:val="left"/>
            </w:pPr>
            <w:r/>
            <w:r>
              <w:rPr>
                <w:b w:val="0"/>
                <w:i w:val="0"/>
                <w:sz w:val="16"/>
              </w:rPr>
              <w:t>Assíncrono Kafka</w:t>
            </w:r>
          </w:p>
        </w:tc>
        <w:tc>
          <w:tcPr>
            <w:tcW w:type="dxa" w:w="1304"/>
          </w:tcPr>
          <w:p>
            <w:pPr>
              <w:spacing w:after="0" w:line="240" w:lineRule="auto"/>
              <w:jc w:val="left"/>
            </w:pPr>
            <w:r/>
            <w:r>
              <w:rPr>
                <w:rFonts w:ascii="Consolas" w:hAnsi="Consolas"/>
                <w:b w:val="0"/>
                <w:i w:val="0"/>
                <w:color w:val="8B1A3A"/>
                <w:sz w:val="15"/>
              </w:rPr>
              <w:t>notificacao.enviar</w:t>
            </w:r>
          </w:p>
        </w:tc>
        <w:tc>
          <w:tcPr>
            <w:tcW w:type="dxa" w:w="1247"/>
          </w:tcPr>
          <w:p>
            <w:pPr>
              <w:spacing w:after="0" w:line="240" w:lineRule="auto"/>
              <w:jc w:val="left"/>
            </w:pPr>
            <w:r/>
            <w:r>
              <w:rPr>
                <w:b w:val="0"/>
                <w:i w:val="0"/>
                <w:sz w:val="16"/>
              </w:rPr>
              <w:t>—</w:t>
            </w:r>
          </w:p>
        </w:tc>
      </w:tr>
      <w:tr>
        <w:tc>
          <w:tcPr>
            <w:tcW w:type="dxa" w:w="2381"/>
          </w:tcPr>
          <w:p>
            <w:pPr>
              <w:spacing w:after="0" w:line="240" w:lineRule="auto"/>
              <w:jc w:val="left"/>
            </w:pPr>
            <w:r/>
            <w:r>
              <w:rPr>
                <w:rFonts w:ascii="Consolas" w:hAnsi="Consolas"/>
                <w:b w:val="0"/>
                <w:i w:val="0"/>
                <w:color w:val="8B1A3A"/>
                <w:sz w:val="15"/>
              </w:rPr>
              <w:t>ms-clientes</w:t>
            </w:r>
            <w:r>
              <w:rPr>
                <w:b w:val="0"/>
                <w:i w:val="0"/>
                <w:sz w:val="16"/>
              </w:rPr>
              <w:t xml:space="preserve"> → Kafka → </w:t>
            </w:r>
            <w:r>
              <w:rPr>
                <w:rFonts w:ascii="Consolas" w:hAnsi="Consolas"/>
                <w:b w:val="0"/>
                <w:i w:val="0"/>
                <w:color w:val="8B1A3A"/>
                <w:sz w:val="15"/>
              </w:rPr>
              <w:t>ms-pedidos</w:t>
            </w:r>
            <w:r>
              <w:rPr>
                <w:b w:val="0"/>
                <w:i w:val="0"/>
                <w:sz w:val="16"/>
              </w:rPr>
              <w:t xml:space="preserve">, </w:t>
            </w:r>
            <w:r>
              <w:rPr>
                <w:rFonts w:ascii="Consolas" w:hAnsi="Consolas"/>
                <w:b w:val="0"/>
                <w:i w:val="0"/>
                <w:color w:val="8B1A3A"/>
                <w:sz w:val="15"/>
              </w:rPr>
              <w:t>ms-analytics</w:t>
            </w:r>
            <w:r>
              <w:rPr>
                <w:b w:val="0"/>
                <w:i w:val="0"/>
                <w:sz w:val="16"/>
              </w:rPr>
              <w:t xml:space="preserve"> e </w:t>
            </w:r>
            <w:r>
              <w:rPr>
                <w:rFonts w:ascii="Consolas" w:hAnsi="Consolas"/>
                <w:b w:val="0"/>
                <w:i w:val="0"/>
                <w:color w:val="8B1A3A"/>
                <w:sz w:val="15"/>
              </w:rPr>
              <w:t>ms-notificacoes</w:t>
            </w:r>
          </w:p>
        </w:tc>
        <w:tc>
          <w:tcPr>
            <w:tcW w:type="dxa" w:w="3572"/>
          </w:tcPr>
          <w:p>
            <w:pPr>
              <w:spacing w:after="0" w:line="240" w:lineRule="auto"/>
              <w:jc w:val="left"/>
            </w:pPr>
            <w:r/>
            <w:r>
              <w:rPr>
                <w:b w:val="0"/>
                <w:i w:val="0"/>
                <w:sz w:val="16"/>
              </w:rPr>
              <w:t xml:space="preserve">Propagar anonimização sem varredura manual em cópias derivadas; no </w:t>
            </w:r>
            <w:r>
              <w:rPr>
                <w:rFonts w:ascii="Consolas" w:hAnsi="Consolas"/>
                <w:b w:val="0"/>
                <w:i w:val="0"/>
                <w:color w:val="8B1A3A"/>
                <w:sz w:val="15"/>
              </w:rPr>
              <w:t>ms-notificacoes</w:t>
            </w:r>
            <w:r>
              <w:rPr>
                <w:b w:val="0"/>
                <w:i w:val="0"/>
                <w:sz w:val="16"/>
              </w:rPr>
              <w:t xml:space="preserve"> o evento só limpa preferência de canal e não dispara envio</w:t>
            </w:r>
          </w:p>
        </w:tc>
        <w:tc>
          <w:tcPr>
            <w:tcW w:type="dxa" w:w="1134"/>
          </w:tcPr>
          <w:p>
            <w:pPr>
              <w:spacing w:after="0" w:line="240" w:lineRule="auto"/>
              <w:jc w:val="left"/>
            </w:pPr>
            <w:r/>
            <w:r>
              <w:rPr>
                <w:b w:val="0"/>
                <w:i w:val="0"/>
                <w:sz w:val="16"/>
              </w:rPr>
              <w:t>Assíncrono Kafka</w:t>
            </w:r>
          </w:p>
        </w:tc>
        <w:tc>
          <w:tcPr>
            <w:tcW w:type="dxa" w:w="1304"/>
          </w:tcPr>
          <w:p>
            <w:pPr>
              <w:spacing w:after="0" w:line="240" w:lineRule="auto"/>
              <w:jc w:val="left"/>
            </w:pPr>
            <w:r/>
            <w:r>
              <w:rPr>
                <w:rFonts w:ascii="Consolas" w:hAnsi="Consolas"/>
                <w:b w:val="0"/>
                <w:i w:val="0"/>
                <w:color w:val="8B1A3A"/>
                <w:sz w:val="15"/>
              </w:rPr>
              <w:t>cliente.anonimizado</w:t>
            </w:r>
          </w:p>
        </w:tc>
        <w:tc>
          <w:tcPr>
            <w:tcW w:type="dxa" w:w="1247"/>
          </w:tcPr>
          <w:p>
            <w:pPr>
              <w:spacing w:after="0" w:line="240" w:lineRule="auto"/>
              <w:jc w:val="left"/>
            </w:pPr>
            <w:r/>
            <w:r>
              <w:rPr>
                <w:b w:val="0"/>
                <w:i w:val="0"/>
                <w:sz w:val="16"/>
              </w:rPr>
              <w:t>—</w:t>
            </w:r>
          </w:p>
        </w:tc>
      </w:tr>
    </w:tbl>
    <w:p>
      <w:r>
        <w:rPr>
          <w:rFonts w:ascii="Consolas" w:hAnsi="Consolas"/>
          <w:b w:val="0"/>
          <w:i w:val="0"/>
          <w:color w:val="8B1A3A"/>
          <w:sz w:val="21"/>
        </w:rPr>
        <w:t>recebimento.confirmado</w:t>
      </w:r>
      <w:r>
        <w:rPr>
          <w:b w:val="0"/>
          <w:i w:val="0"/>
          <w:sz w:val="22"/>
        </w:rPr>
        <w:t xml:space="preserve"> liga </w:t>
      </w:r>
      <w:r>
        <w:rPr>
          <w:rFonts w:ascii="Consolas" w:hAnsi="Consolas"/>
          <w:b w:val="0"/>
          <w:i w:val="0"/>
          <w:color w:val="8B1A3A"/>
          <w:sz w:val="21"/>
        </w:rPr>
        <w:t>ms-fornecedores</w:t>
      </w:r>
      <w:r>
        <w:rPr>
          <w:b w:val="0"/>
          <w:i w:val="0"/>
          <w:sz w:val="22"/>
        </w:rPr>
        <w:t xml:space="preserve"> a </w:t>
      </w:r>
      <w:r>
        <w:rPr>
          <w:rFonts w:ascii="Consolas" w:hAnsi="Consolas"/>
          <w:b w:val="0"/>
          <w:i w:val="0"/>
          <w:color w:val="8B1A3A"/>
          <w:sz w:val="21"/>
        </w:rPr>
        <w:t>ms-estoque</w:t>
      </w:r>
      <w:r>
        <w:rPr>
          <w:b w:val="0"/>
          <w:i w:val="0"/>
          <w:sz w:val="22"/>
        </w:rPr>
        <w:t xml:space="preserve"> e aparece no diagrama da seção 2 e neste catálogo com o mesmo nome, o mesmo produtor e o mesmo consumidor. Alterar o nome exige ajustar os dois lugares no mesmo commit.</w:t>
      </w:r>
    </w:p>
    <w:p>
      <w:pPr>
        <w:pStyle w:val="Heading2"/>
      </w:pPr>
      <w:r>
        <w:rPr>
          <w:b w:val="0"/>
          <w:i w:val="0"/>
          <w:sz w:val="22"/>
        </w:rPr>
        <w:t>4.3 Catálogo de eventos e tópicos</w:t>
      </w:r>
    </w:p>
    <w:p>
      <w:r>
        <w:rPr>
          <w:b w:val="0"/>
          <w:i w:val="0"/>
          <w:sz w:val="22"/>
        </w:rPr>
        <w:t xml:space="preserve">Propomos um envelope comum para os eventos: </w:t>
      </w:r>
      <w:r>
        <w:rPr>
          <w:rFonts w:ascii="Consolas" w:hAnsi="Consolas"/>
          <w:b w:val="0"/>
          <w:i w:val="0"/>
          <w:color w:val="8B1A3A"/>
          <w:sz w:val="21"/>
        </w:rPr>
        <w:t>idEvento</w:t>
      </w:r>
      <w:r>
        <w:rPr>
          <w:b w:val="0"/>
          <w:i w:val="0"/>
          <w:sz w:val="22"/>
        </w:rPr>
        <w:t xml:space="preserve">, </w:t>
      </w:r>
      <w:r>
        <w:rPr>
          <w:rFonts w:ascii="Consolas" w:hAnsi="Consolas"/>
          <w:b w:val="0"/>
          <w:i w:val="0"/>
          <w:color w:val="8B1A3A"/>
          <w:sz w:val="21"/>
        </w:rPr>
        <w:t>tipo</w:t>
      </w:r>
      <w:r>
        <w:rPr>
          <w:b w:val="0"/>
          <w:i w:val="0"/>
          <w:sz w:val="22"/>
        </w:rPr>
        <w:t xml:space="preserve">, </w:t>
      </w:r>
      <w:r>
        <w:rPr>
          <w:rFonts w:ascii="Consolas" w:hAnsi="Consolas"/>
          <w:b w:val="0"/>
          <w:i w:val="0"/>
          <w:color w:val="8B1A3A"/>
          <w:sz w:val="21"/>
        </w:rPr>
        <w:t>versao</w:t>
      </w:r>
      <w:r>
        <w:rPr>
          <w:b w:val="0"/>
          <w:i w:val="0"/>
          <w:sz w:val="22"/>
        </w:rPr>
        <w:t xml:space="preserve">, </w:t>
      </w:r>
      <w:r>
        <w:rPr>
          <w:rFonts w:ascii="Consolas" w:hAnsi="Consolas"/>
          <w:b w:val="0"/>
          <w:i w:val="0"/>
          <w:color w:val="8B1A3A"/>
          <w:sz w:val="21"/>
        </w:rPr>
        <w:t>ocorridoEm</w:t>
      </w:r>
      <w:r>
        <w:rPr>
          <w:b w:val="0"/>
          <w:i w:val="0"/>
          <w:sz w:val="22"/>
        </w:rPr>
        <w:t xml:space="preserve">, </w:t>
      </w:r>
      <w:r>
        <w:rPr>
          <w:rFonts w:ascii="Consolas" w:hAnsi="Consolas"/>
          <w:b w:val="0"/>
          <w:i w:val="0"/>
          <w:color w:val="8B1A3A"/>
          <w:sz w:val="21"/>
        </w:rPr>
        <w:t>traceId</w:t>
      </w:r>
      <w:r>
        <w:rPr>
          <w:b w:val="0"/>
          <w:i w:val="0"/>
          <w:sz w:val="22"/>
        </w:rPr>
        <w:t xml:space="preserve">, </w:t>
      </w:r>
      <w:r>
        <w:rPr>
          <w:rFonts w:ascii="Consolas" w:hAnsi="Consolas"/>
          <w:b w:val="0"/>
          <w:i w:val="0"/>
          <w:color w:val="8B1A3A"/>
          <w:sz w:val="21"/>
        </w:rPr>
        <w:t>chaveParticao</w:t>
      </w:r>
      <w:r>
        <w:rPr>
          <w:b w:val="0"/>
          <w:i w:val="0"/>
          <w:sz w:val="22"/>
        </w:rPr>
        <w:t xml:space="preserve"> e </w:t>
      </w:r>
      <w:r>
        <w:rPr>
          <w:rFonts w:ascii="Consolas" w:hAnsi="Consolas"/>
          <w:b w:val="0"/>
          <w:i w:val="0"/>
          <w:color w:val="8B1A3A"/>
          <w:sz w:val="21"/>
        </w:rPr>
        <w:t>payload</w:t>
      </w:r>
      <w:r>
        <w:rPr>
          <w:b w:val="0"/>
          <w:i w:val="0"/>
          <w:sz w:val="22"/>
        </w:rPr>
        <w:t>. O resumo abaixo descreve o payload de negócio, não o envelope completo.</w:t>
      </w:r>
    </w:p>
    <w:p>
      <w:pPr>
        <w:keepNext/>
        <w:spacing w:after="60" w:before="0"/>
        <w:jc w:val="left"/>
      </w:pPr>
      <w:r>
        <w:rPr>
          <w:b w:val="0"/>
          <w:i/>
          <w:color w:val="595959"/>
          <w:sz w:val="19"/>
        </w:rPr>
        <w:t>Tabela 12 — Catálogo de eventos e tópicos</w:t>
      </w:r>
    </w:p>
    <w:tbl>
      <w:tblPr>
        <w:tblStyle w:val="TableGrid"/>
        <w:tblW w:type="auto" w:w="0"/>
        <w:jc w:val="center"/>
        <w:tblLayout w:type="fixed"/>
        <w:tblLook w:firstColumn="1" w:firstRow="1" w:lastColumn="0" w:lastRow="0" w:noHBand="0" w:noVBand="1" w:val="04A0"/>
      </w:tblPr>
      <w:tblGrid>
        <w:gridCol w:w="1871"/>
        <w:gridCol w:w="1871"/>
        <w:gridCol w:w="1871"/>
        <w:gridCol w:w="1871"/>
        <w:gridCol w:w="1871"/>
      </w:tblGrid>
      <w:tr>
        <w:trPr>
          <w:tblHeader w:val="true"/>
        </w:trPr>
        <w:tc>
          <w:tcPr>
            <w:tcW w:type="dxa" w:w="1361"/>
            <w:shd w:val="clear" w:fill="F4E7EB"/>
          </w:tcPr>
          <w:p>
            <w:pPr>
              <w:spacing w:after="0"/>
              <w:jc w:val="left"/>
            </w:pPr>
            <w:r>
              <w:rPr>
                <w:b/>
              </w:rPr>
            </w:r>
            <w:r>
              <w:rPr>
                <w:b/>
                <w:i w:val="0"/>
                <w:sz w:val="16"/>
              </w:rPr>
              <w:t>Tópico</w:t>
            </w:r>
          </w:p>
        </w:tc>
        <w:tc>
          <w:tcPr>
            <w:tcW w:type="dxa" w:w="3402"/>
            <w:shd w:val="clear" w:fill="F4E7EB"/>
          </w:tcPr>
          <w:p>
            <w:pPr>
              <w:spacing w:after="0"/>
              <w:jc w:val="left"/>
            </w:pPr>
            <w:r>
              <w:rPr>
                <w:b/>
              </w:rPr>
            </w:r>
            <w:r>
              <w:rPr>
                <w:b/>
                <w:i w:val="0"/>
                <w:sz w:val="16"/>
              </w:rPr>
              <w:t>Payload resumido</w:t>
            </w:r>
          </w:p>
        </w:tc>
        <w:tc>
          <w:tcPr>
            <w:tcW w:type="dxa" w:w="1474"/>
            <w:shd w:val="clear" w:fill="F4E7EB"/>
          </w:tcPr>
          <w:p>
            <w:pPr>
              <w:spacing w:after="0"/>
              <w:jc w:val="left"/>
            </w:pPr>
            <w:r>
              <w:rPr>
                <w:b/>
              </w:rPr>
            </w:r>
            <w:r>
              <w:rPr>
                <w:b/>
                <w:i w:val="0"/>
                <w:sz w:val="16"/>
              </w:rPr>
              <w:t>Produtor</w:t>
            </w:r>
          </w:p>
        </w:tc>
        <w:tc>
          <w:tcPr>
            <w:tcW w:type="dxa" w:w="2041"/>
            <w:shd w:val="clear" w:fill="F4E7EB"/>
          </w:tcPr>
          <w:p>
            <w:pPr>
              <w:spacing w:after="0"/>
              <w:jc w:val="left"/>
            </w:pPr>
            <w:r>
              <w:rPr>
                <w:b/>
              </w:rPr>
            </w:r>
            <w:r>
              <w:rPr>
                <w:b/>
                <w:i w:val="0"/>
                <w:sz w:val="16"/>
              </w:rPr>
              <w:t>Consumidores</w:t>
            </w:r>
          </w:p>
        </w:tc>
        <w:tc>
          <w:tcPr>
            <w:tcW w:type="dxa" w:w="1361"/>
            <w:shd w:val="clear" w:fill="F4E7EB"/>
          </w:tcPr>
          <w:p>
            <w:pPr>
              <w:spacing w:after="0"/>
              <w:jc w:val="left"/>
            </w:pPr>
            <w:r>
              <w:rPr>
                <w:b/>
              </w:rPr>
            </w:r>
            <w:r>
              <w:rPr>
                <w:b/>
                <w:i w:val="0"/>
                <w:sz w:val="16"/>
              </w:rPr>
              <w:t>Idempotente obrigatório?</w:t>
            </w:r>
          </w:p>
        </w:tc>
      </w:tr>
      <w:tr>
        <w:tc>
          <w:tcPr>
            <w:tcW w:type="dxa" w:w="1361"/>
          </w:tcPr>
          <w:p>
            <w:pPr>
              <w:spacing w:after="0" w:line="240" w:lineRule="auto"/>
              <w:jc w:val="left"/>
            </w:pPr>
            <w:r/>
            <w:r>
              <w:rPr>
                <w:rFonts w:ascii="Consolas" w:hAnsi="Consolas"/>
                <w:b w:val="0"/>
                <w:i w:val="0"/>
                <w:color w:val="8B1A3A"/>
                <w:sz w:val="15"/>
              </w:rPr>
              <w:t>pedido.criado</w:t>
            </w:r>
          </w:p>
        </w:tc>
        <w:tc>
          <w:tcPr>
            <w:tcW w:type="dxa" w:w="3402"/>
          </w:tcPr>
          <w:p>
            <w:pPr>
              <w:spacing w:after="0" w:line="240" w:lineRule="auto"/>
              <w:jc w:val="left"/>
            </w:pPr>
            <w:r/>
            <w:r>
              <w:rPr>
                <w:rFonts w:ascii="Consolas" w:hAnsi="Consolas"/>
                <w:b w:val="0"/>
                <w:i w:val="0"/>
                <w:color w:val="8B1A3A"/>
                <w:sz w:val="15"/>
              </w:rPr>
              <w:t>pedidoId</w:t>
            </w:r>
            <w:r>
              <w:rPr>
                <w:b w:val="0"/>
                <w:i w:val="0"/>
                <w:sz w:val="16"/>
              </w:rPr>
              <w:t xml:space="preserve">, </w:t>
            </w:r>
            <w:r>
              <w:rPr>
                <w:rFonts w:ascii="Consolas" w:hAnsi="Consolas"/>
                <w:b w:val="0"/>
                <w:i w:val="0"/>
                <w:color w:val="8B1A3A"/>
                <w:sz w:val="15"/>
              </w:rPr>
              <w:t>clienteId</w:t>
            </w:r>
            <w:r>
              <w:rPr>
                <w:b w:val="0"/>
                <w:i w:val="0"/>
                <w:sz w:val="16"/>
              </w:rPr>
              <w:t xml:space="preserve">, itens, totais, endereço resumido, </w:t>
            </w:r>
            <w:r>
              <w:rPr>
                <w:rFonts w:ascii="Consolas" w:hAnsi="Consolas"/>
                <w:b w:val="0"/>
                <w:i w:val="0"/>
                <w:color w:val="8B1A3A"/>
                <w:sz w:val="15"/>
              </w:rPr>
              <w:t>correlationId</w:t>
            </w:r>
          </w:p>
        </w:tc>
        <w:tc>
          <w:tcPr>
            <w:tcW w:type="dxa" w:w="1474"/>
          </w:tcPr>
          <w:p>
            <w:pPr>
              <w:spacing w:after="0" w:line="240" w:lineRule="auto"/>
              <w:jc w:val="left"/>
            </w:pPr>
            <w:r/>
            <w:r>
              <w:rPr>
                <w:rFonts w:ascii="Consolas" w:hAnsi="Consolas"/>
                <w:b w:val="0"/>
                <w:i w:val="0"/>
                <w:color w:val="8B1A3A"/>
                <w:sz w:val="15"/>
              </w:rPr>
              <w:t>ms-pedidos</w:t>
            </w:r>
          </w:p>
        </w:tc>
        <w:tc>
          <w:tcPr>
            <w:tcW w:type="dxa" w:w="2041"/>
          </w:tcPr>
          <w:p>
            <w:pPr>
              <w:spacing w:after="0" w:line="240" w:lineRule="auto"/>
              <w:jc w:val="left"/>
            </w:pPr>
            <w:r/>
            <w:r>
              <w:rPr>
                <w:rFonts w:ascii="Consolas" w:hAnsi="Consolas"/>
                <w:b w:val="0"/>
                <w:i w:val="0"/>
                <w:color w:val="8B1A3A"/>
                <w:sz w:val="15"/>
              </w:rPr>
              <w:t>ms-estoque</w:t>
            </w:r>
            <w:r>
              <w:rPr>
                <w:b w:val="0"/>
                <w:i w:val="0"/>
                <w:sz w:val="16"/>
              </w:rPr>
              <w:t xml:space="preserve">, </w:t>
            </w:r>
            <w:r>
              <w:rPr>
                <w:rFonts w:ascii="Consolas" w:hAnsi="Consolas"/>
                <w:b w:val="0"/>
                <w:i w:val="0"/>
                <w:color w:val="8B1A3A"/>
                <w:sz w:val="15"/>
              </w:rPr>
              <w:t>ms-clientes</w:t>
            </w:r>
            <w:r>
              <w:rPr>
                <w:b w:val="0"/>
                <w:i w:val="0"/>
                <w:sz w:val="16"/>
              </w:rPr>
              <w:t xml:space="preserve">, </w:t>
            </w:r>
            <w:r>
              <w:rPr>
                <w:rFonts w:ascii="Consolas" w:hAnsi="Consolas"/>
                <w:b w:val="0"/>
                <w:i w:val="0"/>
                <w:color w:val="8B1A3A"/>
                <w:sz w:val="15"/>
              </w:rPr>
              <w:t>ms-analytics</w:t>
            </w:r>
          </w:p>
        </w:tc>
        <w:tc>
          <w:tcPr>
            <w:tcW w:type="dxa" w:w="1361"/>
          </w:tcPr>
          <w:p>
            <w:pPr>
              <w:spacing w:after="0" w:line="240" w:lineRule="auto"/>
              <w:jc w:val="left"/>
            </w:pPr>
            <w:r/>
            <w:r>
              <w:rPr>
                <w:b w:val="0"/>
                <w:i w:val="0"/>
                <w:sz w:val="16"/>
              </w:rPr>
              <w:t xml:space="preserve">Sim; uma reserva e uma atualização de histórico por </w:t>
            </w:r>
            <w:r>
              <w:rPr>
                <w:rFonts w:ascii="Consolas" w:hAnsi="Consolas"/>
                <w:b w:val="0"/>
                <w:i w:val="0"/>
                <w:color w:val="8B1A3A"/>
                <w:sz w:val="15"/>
              </w:rPr>
              <w:t>pedidoId</w:t>
            </w:r>
          </w:p>
        </w:tc>
      </w:tr>
      <w:tr>
        <w:tc>
          <w:tcPr>
            <w:tcW w:type="dxa" w:w="1361"/>
          </w:tcPr>
          <w:p>
            <w:pPr>
              <w:spacing w:after="0" w:line="240" w:lineRule="auto"/>
              <w:jc w:val="left"/>
            </w:pPr>
            <w:r/>
            <w:r>
              <w:rPr>
                <w:rFonts w:ascii="Consolas" w:hAnsi="Consolas"/>
                <w:b w:val="0"/>
                <w:i w:val="0"/>
                <w:color w:val="8B1A3A"/>
                <w:sz w:val="15"/>
              </w:rPr>
              <w:t>estoque.reservado</w:t>
            </w:r>
          </w:p>
        </w:tc>
        <w:tc>
          <w:tcPr>
            <w:tcW w:type="dxa" w:w="3402"/>
          </w:tcPr>
          <w:p>
            <w:pPr>
              <w:spacing w:after="0" w:line="240" w:lineRule="auto"/>
              <w:jc w:val="left"/>
            </w:pPr>
            <w:r/>
            <w:r>
              <w:rPr>
                <w:rFonts w:ascii="Consolas" w:hAnsi="Consolas"/>
                <w:b w:val="0"/>
                <w:i w:val="0"/>
                <w:color w:val="8B1A3A"/>
                <w:sz w:val="15"/>
              </w:rPr>
              <w:t>pedidoId</w:t>
            </w:r>
            <w:r>
              <w:rPr>
                <w:b w:val="0"/>
                <w:i w:val="0"/>
                <w:sz w:val="16"/>
              </w:rPr>
              <w:t xml:space="preserve">, </w:t>
            </w:r>
            <w:r>
              <w:rPr>
                <w:rFonts w:ascii="Consolas" w:hAnsi="Consolas"/>
                <w:b w:val="0"/>
                <w:i w:val="0"/>
                <w:color w:val="8B1A3A"/>
                <w:sz w:val="15"/>
              </w:rPr>
              <w:t>reservaId</w:t>
            </w:r>
            <w:r>
              <w:rPr>
                <w:b w:val="0"/>
                <w:i w:val="0"/>
                <w:sz w:val="16"/>
              </w:rPr>
              <w:t>, itens, quantidades e expiração</w:t>
            </w:r>
          </w:p>
        </w:tc>
        <w:tc>
          <w:tcPr>
            <w:tcW w:type="dxa" w:w="1474"/>
          </w:tcPr>
          <w:p>
            <w:pPr>
              <w:spacing w:after="0" w:line="240" w:lineRule="auto"/>
              <w:jc w:val="left"/>
            </w:pPr>
            <w:r/>
            <w:r>
              <w:rPr>
                <w:rFonts w:ascii="Consolas" w:hAnsi="Consolas"/>
                <w:b w:val="0"/>
                <w:i w:val="0"/>
                <w:color w:val="8B1A3A"/>
                <w:sz w:val="15"/>
              </w:rPr>
              <w:t>ms-estoque</w:t>
            </w:r>
          </w:p>
        </w:tc>
        <w:tc>
          <w:tcPr>
            <w:tcW w:type="dxa" w:w="2041"/>
          </w:tcPr>
          <w:p>
            <w:pPr>
              <w:spacing w:after="0" w:line="240" w:lineRule="auto"/>
              <w:jc w:val="left"/>
            </w:pPr>
            <w:r/>
            <w:r>
              <w:rPr>
                <w:rFonts w:ascii="Consolas" w:hAnsi="Consolas"/>
                <w:b w:val="0"/>
                <w:i w:val="0"/>
                <w:color w:val="8B1A3A"/>
                <w:sz w:val="15"/>
              </w:rPr>
              <w:t>ms-pagamentos</w:t>
            </w:r>
            <w:r>
              <w:rPr>
                <w:b w:val="0"/>
                <w:i w:val="0"/>
                <w:sz w:val="16"/>
              </w:rPr>
              <w:t xml:space="preserve">, </w:t>
            </w:r>
            <w:r>
              <w:rPr>
                <w:rFonts w:ascii="Consolas" w:hAnsi="Consolas"/>
                <w:b w:val="0"/>
                <w:i w:val="0"/>
                <w:color w:val="8B1A3A"/>
                <w:sz w:val="15"/>
              </w:rPr>
              <w:t>ms-pedidos</w:t>
            </w:r>
            <w:r>
              <w:rPr>
                <w:b w:val="0"/>
                <w:i w:val="0"/>
                <w:sz w:val="16"/>
              </w:rPr>
              <w:t xml:space="preserve">, </w:t>
            </w:r>
            <w:r>
              <w:rPr>
                <w:rFonts w:ascii="Consolas" w:hAnsi="Consolas"/>
                <w:b w:val="0"/>
                <w:i w:val="0"/>
                <w:color w:val="8B1A3A"/>
                <w:sz w:val="15"/>
              </w:rPr>
              <w:t>ms-analytics</w:t>
            </w:r>
          </w:p>
        </w:tc>
        <w:tc>
          <w:tcPr>
            <w:tcW w:type="dxa" w:w="1361"/>
          </w:tcPr>
          <w:p>
            <w:pPr>
              <w:spacing w:after="0" w:line="240" w:lineRule="auto"/>
              <w:jc w:val="left"/>
            </w:pPr>
            <w:r/>
            <w:r>
              <w:rPr>
                <w:b w:val="0"/>
                <w:i w:val="0"/>
                <w:sz w:val="16"/>
              </w:rPr>
              <w:t>Sim; não duplicar cobrança nem transição</w:t>
            </w:r>
          </w:p>
        </w:tc>
      </w:tr>
      <w:tr>
        <w:tc>
          <w:tcPr>
            <w:tcW w:type="dxa" w:w="1361"/>
          </w:tcPr>
          <w:p>
            <w:pPr>
              <w:spacing w:after="0" w:line="240" w:lineRule="auto"/>
              <w:jc w:val="left"/>
            </w:pPr>
            <w:r/>
            <w:r>
              <w:rPr>
                <w:rFonts w:ascii="Consolas" w:hAnsi="Consolas"/>
                <w:b w:val="0"/>
                <w:i w:val="0"/>
                <w:color w:val="8B1A3A"/>
                <w:sz w:val="15"/>
              </w:rPr>
              <w:t>pagamento.aprovado</w:t>
            </w:r>
          </w:p>
        </w:tc>
        <w:tc>
          <w:tcPr>
            <w:tcW w:type="dxa" w:w="3402"/>
          </w:tcPr>
          <w:p>
            <w:pPr>
              <w:spacing w:after="0" w:line="240" w:lineRule="auto"/>
              <w:jc w:val="left"/>
            </w:pPr>
            <w:r/>
            <w:r>
              <w:rPr>
                <w:rFonts w:ascii="Consolas" w:hAnsi="Consolas"/>
                <w:b w:val="0"/>
                <w:i w:val="0"/>
                <w:color w:val="8B1A3A"/>
                <w:sz w:val="15"/>
              </w:rPr>
              <w:t>pedidoId</w:t>
            </w:r>
            <w:r>
              <w:rPr>
                <w:b w:val="0"/>
                <w:i w:val="0"/>
                <w:sz w:val="16"/>
              </w:rPr>
              <w:t xml:space="preserve">, </w:t>
            </w:r>
            <w:r>
              <w:rPr>
                <w:rFonts w:ascii="Consolas" w:hAnsi="Consolas"/>
                <w:b w:val="0"/>
                <w:i w:val="0"/>
                <w:color w:val="8B1A3A"/>
                <w:sz w:val="15"/>
              </w:rPr>
              <w:t>pagamentoId</w:t>
            </w:r>
            <w:r>
              <w:rPr>
                <w:b w:val="0"/>
                <w:i w:val="0"/>
                <w:sz w:val="16"/>
              </w:rPr>
              <w:t>, valor, moeda, data e autorização</w:t>
            </w:r>
          </w:p>
        </w:tc>
        <w:tc>
          <w:tcPr>
            <w:tcW w:type="dxa" w:w="1474"/>
          </w:tcPr>
          <w:p>
            <w:pPr>
              <w:spacing w:after="0" w:line="240" w:lineRule="auto"/>
              <w:jc w:val="left"/>
            </w:pPr>
            <w:r/>
            <w:r>
              <w:rPr>
                <w:rFonts w:ascii="Consolas" w:hAnsi="Consolas"/>
                <w:b w:val="0"/>
                <w:i w:val="0"/>
                <w:color w:val="8B1A3A"/>
                <w:sz w:val="15"/>
              </w:rPr>
              <w:t>ms-pagamentos</w:t>
            </w:r>
          </w:p>
        </w:tc>
        <w:tc>
          <w:tcPr>
            <w:tcW w:type="dxa" w:w="2041"/>
          </w:tcPr>
          <w:p>
            <w:pPr>
              <w:spacing w:after="0" w:line="240" w:lineRule="auto"/>
              <w:jc w:val="left"/>
            </w:pPr>
            <w:r/>
            <w:r>
              <w:rPr>
                <w:rFonts w:ascii="Consolas" w:hAnsi="Consolas"/>
                <w:b w:val="0"/>
                <w:i w:val="0"/>
                <w:color w:val="8B1A3A"/>
                <w:sz w:val="15"/>
              </w:rPr>
              <w:t>ms-pedidos</w:t>
            </w:r>
            <w:r>
              <w:rPr>
                <w:b w:val="0"/>
                <w:i w:val="0"/>
                <w:sz w:val="16"/>
              </w:rPr>
              <w:t xml:space="preserve">, </w:t>
            </w:r>
            <w:r>
              <w:rPr>
                <w:rFonts w:ascii="Consolas" w:hAnsi="Consolas"/>
                <w:b w:val="0"/>
                <w:i w:val="0"/>
                <w:color w:val="8B1A3A"/>
                <w:sz w:val="15"/>
              </w:rPr>
              <w:t>ms-estoque</w:t>
            </w:r>
            <w:r>
              <w:rPr>
                <w:b w:val="0"/>
                <w:i w:val="0"/>
                <w:sz w:val="16"/>
              </w:rPr>
              <w:t xml:space="preserve">, </w:t>
            </w:r>
            <w:r>
              <w:rPr>
                <w:rFonts w:ascii="Consolas" w:hAnsi="Consolas"/>
                <w:b w:val="0"/>
                <w:i w:val="0"/>
                <w:color w:val="8B1A3A"/>
                <w:sz w:val="15"/>
              </w:rPr>
              <w:t>ms-analytics</w:t>
            </w:r>
          </w:p>
        </w:tc>
        <w:tc>
          <w:tcPr>
            <w:tcW w:type="dxa" w:w="1361"/>
          </w:tcPr>
          <w:p>
            <w:pPr>
              <w:spacing w:after="0" w:line="240" w:lineRule="auto"/>
              <w:jc w:val="left"/>
            </w:pPr>
            <w:r/>
            <w:r>
              <w:rPr>
                <w:b w:val="0"/>
                <w:i w:val="0"/>
                <w:sz w:val="16"/>
              </w:rPr>
              <w:t>Sim; não confirmar ou baixar duas vezes</w:t>
            </w:r>
          </w:p>
        </w:tc>
      </w:tr>
      <w:tr>
        <w:tc>
          <w:tcPr>
            <w:tcW w:type="dxa" w:w="1361"/>
          </w:tcPr>
          <w:p>
            <w:pPr>
              <w:spacing w:after="0" w:line="240" w:lineRule="auto"/>
              <w:jc w:val="left"/>
            </w:pPr>
            <w:r/>
            <w:r>
              <w:rPr>
                <w:rFonts w:ascii="Consolas" w:hAnsi="Consolas"/>
                <w:b w:val="0"/>
                <w:i w:val="0"/>
                <w:color w:val="8B1A3A"/>
                <w:sz w:val="15"/>
              </w:rPr>
              <w:t>pagamento.recusado</w:t>
            </w:r>
          </w:p>
        </w:tc>
        <w:tc>
          <w:tcPr>
            <w:tcW w:type="dxa" w:w="3402"/>
          </w:tcPr>
          <w:p>
            <w:pPr>
              <w:spacing w:after="0" w:line="240" w:lineRule="auto"/>
              <w:jc w:val="left"/>
            </w:pPr>
            <w:r/>
            <w:r>
              <w:rPr>
                <w:rFonts w:ascii="Consolas" w:hAnsi="Consolas"/>
                <w:b w:val="0"/>
                <w:i w:val="0"/>
                <w:color w:val="8B1A3A"/>
                <w:sz w:val="15"/>
              </w:rPr>
              <w:t>pedidoId</w:t>
            </w:r>
            <w:r>
              <w:rPr>
                <w:b w:val="0"/>
                <w:i w:val="0"/>
                <w:sz w:val="16"/>
              </w:rPr>
              <w:t xml:space="preserve">, </w:t>
            </w:r>
            <w:r>
              <w:rPr>
                <w:rFonts w:ascii="Consolas" w:hAnsi="Consolas"/>
                <w:b w:val="0"/>
                <w:i w:val="0"/>
                <w:color w:val="8B1A3A"/>
                <w:sz w:val="15"/>
              </w:rPr>
              <w:t>pagamentoId</w:t>
            </w:r>
            <w:r>
              <w:rPr>
                <w:b w:val="0"/>
                <w:i w:val="0"/>
                <w:sz w:val="16"/>
              </w:rPr>
              <w:t>, motivo codificado e data</w:t>
            </w:r>
          </w:p>
        </w:tc>
        <w:tc>
          <w:tcPr>
            <w:tcW w:type="dxa" w:w="1474"/>
          </w:tcPr>
          <w:p>
            <w:pPr>
              <w:spacing w:after="0" w:line="240" w:lineRule="auto"/>
              <w:jc w:val="left"/>
            </w:pPr>
            <w:r/>
            <w:r>
              <w:rPr>
                <w:rFonts w:ascii="Consolas" w:hAnsi="Consolas"/>
                <w:b w:val="0"/>
                <w:i w:val="0"/>
                <w:color w:val="8B1A3A"/>
                <w:sz w:val="15"/>
              </w:rPr>
              <w:t>ms-pagamentos</w:t>
            </w:r>
          </w:p>
        </w:tc>
        <w:tc>
          <w:tcPr>
            <w:tcW w:type="dxa" w:w="2041"/>
          </w:tcPr>
          <w:p>
            <w:pPr>
              <w:spacing w:after="0" w:line="240" w:lineRule="auto"/>
              <w:jc w:val="left"/>
            </w:pPr>
            <w:r/>
            <w:r>
              <w:rPr>
                <w:rFonts w:ascii="Consolas" w:hAnsi="Consolas"/>
                <w:b w:val="0"/>
                <w:i w:val="0"/>
                <w:color w:val="8B1A3A"/>
                <w:sz w:val="15"/>
              </w:rPr>
              <w:t>ms-pedidos</w:t>
            </w:r>
            <w:r>
              <w:rPr>
                <w:b w:val="0"/>
                <w:i w:val="0"/>
                <w:sz w:val="16"/>
              </w:rPr>
              <w:t xml:space="preserve">, </w:t>
            </w:r>
            <w:r>
              <w:rPr>
                <w:rFonts w:ascii="Consolas" w:hAnsi="Consolas"/>
                <w:b w:val="0"/>
                <w:i w:val="0"/>
                <w:color w:val="8B1A3A"/>
                <w:sz w:val="15"/>
              </w:rPr>
              <w:t>ms-estoque</w:t>
            </w:r>
            <w:r>
              <w:rPr>
                <w:b w:val="0"/>
                <w:i w:val="0"/>
                <w:sz w:val="16"/>
              </w:rPr>
              <w:t xml:space="preserve">, </w:t>
            </w:r>
            <w:r>
              <w:rPr>
                <w:rFonts w:ascii="Consolas" w:hAnsi="Consolas"/>
                <w:b w:val="0"/>
                <w:i w:val="0"/>
                <w:color w:val="8B1A3A"/>
                <w:sz w:val="15"/>
              </w:rPr>
              <w:t>ms-analytics</w:t>
            </w:r>
          </w:p>
        </w:tc>
        <w:tc>
          <w:tcPr>
            <w:tcW w:type="dxa" w:w="1361"/>
          </w:tcPr>
          <w:p>
            <w:pPr>
              <w:spacing w:after="0" w:line="240" w:lineRule="auto"/>
              <w:jc w:val="left"/>
            </w:pPr>
            <w:r/>
            <w:r>
              <w:rPr>
                <w:b w:val="0"/>
                <w:i w:val="0"/>
                <w:sz w:val="16"/>
              </w:rPr>
              <w:t>Sim; liberar a reserva uma única vez</w:t>
            </w:r>
          </w:p>
        </w:tc>
      </w:tr>
      <w:tr>
        <w:tc>
          <w:tcPr>
            <w:tcW w:type="dxa" w:w="1361"/>
          </w:tcPr>
          <w:p>
            <w:pPr>
              <w:spacing w:after="0" w:line="240" w:lineRule="auto"/>
              <w:jc w:val="left"/>
            </w:pPr>
            <w:r/>
            <w:r>
              <w:rPr>
                <w:rFonts w:ascii="Consolas" w:hAnsi="Consolas"/>
                <w:b w:val="0"/>
                <w:i w:val="0"/>
                <w:color w:val="8B1A3A"/>
                <w:sz w:val="15"/>
              </w:rPr>
              <w:t>lote.criado</w:t>
            </w:r>
          </w:p>
        </w:tc>
        <w:tc>
          <w:tcPr>
            <w:tcW w:type="dxa" w:w="3402"/>
          </w:tcPr>
          <w:p>
            <w:pPr>
              <w:spacing w:after="0" w:line="240" w:lineRule="auto"/>
              <w:jc w:val="left"/>
            </w:pPr>
            <w:r/>
            <w:r>
              <w:rPr>
                <w:rFonts w:ascii="Consolas" w:hAnsi="Consolas"/>
                <w:b w:val="0"/>
                <w:i w:val="0"/>
                <w:color w:val="8B1A3A"/>
                <w:sz w:val="15"/>
              </w:rPr>
              <w:t>loteId</w:t>
            </w:r>
            <w:r>
              <w:rPr>
                <w:b w:val="0"/>
                <w:i w:val="0"/>
                <w:sz w:val="16"/>
              </w:rPr>
              <w:t xml:space="preserve">, </w:t>
            </w:r>
            <w:r>
              <w:rPr>
                <w:rFonts w:ascii="Consolas" w:hAnsi="Consolas"/>
                <w:b w:val="0"/>
                <w:i w:val="0"/>
                <w:color w:val="8B1A3A"/>
                <w:sz w:val="15"/>
              </w:rPr>
              <w:t>safraId</w:t>
            </w:r>
            <w:r>
              <w:rPr>
                <w:b w:val="0"/>
                <w:i w:val="0"/>
                <w:sz w:val="16"/>
              </w:rPr>
              <w:t>, origem, data, quantidade e dados de genealogia</w:t>
            </w:r>
          </w:p>
        </w:tc>
        <w:tc>
          <w:tcPr>
            <w:tcW w:type="dxa" w:w="1474"/>
          </w:tcPr>
          <w:p>
            <w:pPr>
              <w:spacing w:after="0" w:line="240" w:lineRule="auto"/>
              <w:jc w:val="left"/>
            </w:pPr>
            <w:r/>
            <w:r>
              <w:rPr>
                <w:rFonts w:ascii="Consolas" w:hAnsi="Consolas"/>
                <w:b w:val="0"/>
                <w:i w:val="0"/>
                <w:color w:val="8B1A3A"/>
                <w:sz w:val="15"/>
              </w:rPr>
              <w:t>ms-lotes</w:t>
            </w:r>
          </w:p>
        </w:tc>
        <w:tc>
          <w:tcPr>
            <w:tcW w:type="dxa" w:w="2041"/>
          </w:tcPr>
          <w:p>
            <w:pPr>
              <w:spacing w:after="0" w:line="240" w:lineRule="auto"/>
              <w:jc w:val="left"/>
            </w:pPr>
            <w:r/>
            <w:r>
              <w:rPr>
                <w:rFonts w:ascii="Consolas" w:hAnsi="Consolas"/>
                <w:b w:val="0"/>
                <w:i w:val="0"/>
                <w:color w:val="8B1A3A"/>
                <w:sz w:val="15"/>
              </w:rPr>
              <w:t>ms-estoque</w:t>
            </w:r>
            <w:r>
              <w:rPr>
                <w:b w:val="0"/>
                <w:i w:val="0"/>
                <w:sz w:val="16"/>
              </w:rPr>
              <w:t xml:space="preserve">, </w:t>
            </w:r>
            <w:r>
              <w:rPr>
                <w:rFonts w:ascii="Consolas" w:hAnsi="Consolas"/>
                <w:b w:val="0"/>
                <w:i w:val="0"/>
                <w:color w:val="8B1A3A"/>
                <w:sz w:val="15"/>
              </w:rPr>
              <w:t>ms-catalogo</w:t>
            </w:r>
            <w:r>
              <w:rPr>
                <w:b w:val="0"/>
                <w:i w:val="0"/>
                <w:sz w:val="16"/>
              </w:rPr>
              <w:t xml:space="preserve">, </w:t>
            </w:r>
            <w:r>
              <w:rPr>
                <w:rFonts w:ascii="Consolas" w:hAnsi="Consolas"/>
                <w:b w:val="0"/>
                <w:i w:val="0"/>
                <w:color w:val="8B1A3A"/>
                <w:sz w:val="15"/>
              </w:rPr>
              <w:t>ms-qualidade</w:t>
            </w:r>
            <w:r>
              <w:rPr>
                <w:b w:val="0"/>
                <w:i w:val="0"/>
                <w:sz w:val="16"/>
              </w:rPr>
              <w:t xml:space="preserve">, </w:t>
            </w:r>
            <w:r>
              <w:rPr>
                <w:rFonts w:ascii="Consolas" w:hAnsi="Consolas"/>
                <w:b w:val="0"/>
                <w:i w:val="0"/>
                <w:color w:val="8B1A3A"/>
                <w:sz w:val="15"/>
              </w:rPr>
              <w:t>ms-analytics</w:t>
            </w:r>
          </w:p>
        </w:tc>
        <w:tc>
          <w:tcPr>
            <w:tcW w:type="dxa" w:w="1361"/>
          </w:tcPr>
          <w:p>
            <w:pPr>
              <w:spacing w:after="0" w:line="240" w:lineRule="auto"/>
              <w:jc w:val="left"/>
            </w:pPr>
            <w:r/>
            <w:r>
              <w:rPr>
                <w:b w:val="0"/>
                <w:i w:val="0"/>
                <w:sz w:val="16"/>
              </w:rPr>
              <w:t xml:space="preserve">Sim; um QR e uma genealogia por </w:t>
            </w:r>
            <w:r>
              <w:rPr>
                <w:rFonts w:ascii="Consolas" w:hAnsi="Consolas"/>
                <w:b w:val="0"/>
                <w:i w:val="0"/>
                <w:color w:val="8B1A3A"/>
                <w:sz w:val="15"/>
              </w:rPr>
              <w:t>loteId</w:t>
            </w:r>
          </w:p>
        </w:tc>
      </w:tr>
      <w:tr>
        <w:tc>
          <w:tcPr>
            <w:tcW w:type="dxa" w:w="1361"/>
          </w:tcPr>
          <w:p>
            <w:pPr>
              <w:spacing w:after="0" w:line="240" w:lineRule="auto"/>
              <w:jc w:val="left"/>
            </w:pPr>
            <w:r/>
            <w:r>
              <w:rPr>
                <w:rFonts w:ascii="Consolas" w:hAnsi="Consolas"/>
                <w:b w:val="0"/>
                <w:i w:val="0"/>
                <w:color w:val="8B1A3A"/>
                <w:sz w:val="15"/>
              </w:rPr>
              <w:t>recebimento.confirmado</w:t>
            </w:r>
          </w:p>
        </w:tc>
        <w:tc>
          <w:tcPr>
            <w:tcW w:type="dxa" w:w="3402"/>
          </w:tcPr>
          <w:p>
            <w:pPr>
              <w:spacing w:after="0" w:line="240" w:lineRule="auto"/>
              <w:jc w:val="left"/>
            </w:pPr>
            <w:r/>
            <w:r>
              <w:rPr>
                <w:rFonts w:ascii="Consolas" w:hAnsi="Consolas"/>
                <w:b w:val="0"/>
                <w:i w:val="0"/>
                <w:color w:val="8B1A3A"/>
                <w:sz w:val="15"/>
              </w:rPr>
              <w:t>recebimentoId</w:t>
            </w:r>
            <w:r>
              <w:rPr>
                <w:b w:val="0"/>
                <w:i w:val="0"/>
                <w:sz w:val="16"/>
              </w:rPr>
              <w:t>, fornecedor, itens, lote(s), quantidades e divergências</w:t>
            </w:r>
          </w:p>
        </w:tc>
        <w:tc>
          <w:tcPr>
            <w:tcW w:type="dxa" w:w="1474"/>
          </w:tcPr>
          <w:p>
            <w:pPr>
              <w:spacing w:after="0" w:line="240" w:lineRule="auto"/>
              <w:jc w:val="left"/>
            </w:pPr>
            <w:r/>
            <w:r>
              <w:rPr>
                <w:rFonts w:ascii="Consolas" w:hAnsi="Consolas"/>
                <w:b w:val="0"/>
                <w:i w:val="0"/>
                <w:color w:val="8B1A3A"/>
                <w:sz w:val="15"/>
              </w:rPr>
              <w:t>ms-fornecedores</w:t>
            </w:r>
          </w:p>
        </w:tc>
        <w:tc>
          <w:tcPr>
            <w:tcW w:type="dxa" w:w="2041"/>
          </w:tcPr>
          <w:p>
            <w:pPr>
              <w:spacing w:after="0" w:line="240" w:lineRule="auto"/>
              <w:jc w:val="left"/>
            </w:pPr>
            <w:r/>
            <w:r>
              <w:rPr>
                <w:rFonts w:ascii="Consolas" w:hAnsi="Consolas"/>
                <w:b w:val="0"/>
                <w:i w:val="0"/>
                <w:color w:val="8B1A3A"/>
                <w:sz w:val="15"/>
              </w:rPr>
              <w:t>ms-estoque</w:t>
            </w:r>
            <w:r>
              <w:rPr>
                <w:b w:val="0"/>
                <w:i w:val="0"/>
                <w:sz w:val="16"/>
              </w:rPr>
              <w:t xml:space="preserve">, </w:t>
            </w:r>
            <w:r>
              <w:rPr>
                <w:rFonts w:ascii="Consolas" w:hAnsi="Consolas"/>
                <w:b w:val="0"/>
                <w:i w:val="0"/>
                <w:color w:val="8B1A3A"/>
                <w:sz w:val="15"/>
              </w:rPr>
              <w:t>ms-analytics</w:t>
            </w:r>
          </w:p>
        </w:tc>
        <w:tc>
          <w:tcPr>
            <w:tcW w:type="dxa" w:w="1361"/>
          </w:tcPr>
          <w:p>
            <w:pPr>
              <w:spacing w:after="0" w:line="240" w:lineRule="auto"/>
              <w:jc w:val="left"/>
            </w:pPr>
            <w:r/>
            <w:r>
              <w:rPr>
                <w:b w:val="0"/>
                <w:i w:val="0"/>
                <w:sz w:val="16"/>
              </w:rPr>
              <w:t>Sim; não lançar a mesma entrada duas vezes</w:t>
            </w:r>
          </w:p>
        </w:tc>
      </w:tr>
      <w:tr>
        <w:tc>
          <w:tcPr>
            <w:tcW w:type="dxa" w:w="1361"/>
          </w:tcPr>
          <w:p>
            <w:pPr>
              <w:spacing w:after="0" w:line="240" w:lineRule="auto"/>
              <w:jc w:val="left"/>
            </w:pPr>
            <w:r/>
            <w:r>
              <w:rPr>
                <w:rFonts w:ascii="Consolas" w:hAnsi="Consolas"/>
                <w:b w:val="0"/>
                <w:i w:val="0"/>
                <w:color w:val="8B1A3A"/>
                <w:sz w:val="15"/>
              </w:rPr>
              <w:t>qualidade.leitura</w:t>
            </w:r>
          </w:p>
        </w:tc>
        <w:tc>
          <w:tcPr>
            <w:tcW w:type="dxa" w:w="3402"/>
          </w:tcPr>
          <w:p>
            <w:pPr>
              <w:spacing w:after="0" w:line="240" w:lineRule="auto"/>
              <w:jc w:val="left"/>
            </w:pPr>
            <w:r/>
            <w:r>
              <w:rPr>
                <w:rFonts w:ascii="Consolas" w:hAnsi="Consolas"/>
                <w:b w:val="0"/>
                <w:i w:val="0"/>
                <w:color w:val="8B1A3A"/>
                <w:sz w:val="15"/>
              </w:rPr>
              <w:t>deviceId</w:t>
            </w:r>
            <w:r>
              <w:rPr>
                <w:b w:val="0"/>
                <w:i w:val="0"/>
                <w:sz w:val="16"/>
              </w:rPr>
              <w:t xml:space="preserve">, </w:t>
            </w:r>
            <w:r>
              <w:rPr>
                <w:rFonts w:ascii="Consolas" w:hAnsi="Consolas"/>
                <w:b w:val="0"/>
                <w:i w:val="0"/>
                <w:color w:val="8B1A3A"/>
                <w:sz w:val="15"/>
              </w:rPr>
              <w:t>adegaId</w:t>
            </w:r>
            <w:r>
              <w:rPr>
                <w:b w:val="0"/>
                <w:i w:val="0"/>
                <w:sz w:val="16"/>
              </w:rPr>
              <w:t xml:space="preserve">, </w:t>
            </w:r>
            <w:r>
              <w:rPr>
                <w:rFonts w:ascii="Consolas" w:hAnsi="Consolas"/>
                <w:b w:val="0"/>
                <w:i w:val="0"/>
                <w:color w:val="8B1A3A"/>
                <w:sz w:val="15"/>
              </w:rPr>
              <w:t>loteId</w:t>
            </w:r>
            <w:r>
              <w:rPr>
                <w:b w:val="0"/>
                <w:i w:val="0"/>
                <w:sz w:val="16"/>
              </w:rPr>
              <w:t xml:space="preserve"> opcional, temperatura, umidade, luminosidade e medição</w:t>
            </w:r>
          </w:p>
        </w:tc>
        <w:tc>
          <w:tcPr>
            <w:tcW w:type="dxa" w:w="1474"/>
          </w:tcPr>
          <w:p>
            <w:pPr>
              <w:spacing w:after="0" w:line="240" w:lineRule="auto"/>
              <w:jc w:val="left"/>
            </w:pPr>
            <w:r/>
            <w:r>
              <w:rPr>
                <w:b w:val="0"/>
                <w:i w:val="0"/>
                <w:sz w:val="16"/>
              </w:rPr>
              <w:t>Bridge MQTT</w:t>
            </w:r>
          </w:p>
        </w:tc>
        <w:tc>
          <w:tcPr>
            <w:tcW w:type="dxa" w:w="2041"/>
          </w:tcPr>
          <w:p>
            <w:pPr>
              <w:spacing w:after="0" w:line="240" w:lineRule="auto"/>
              <w:jc w:val="left"/>
            </w:pPr>
            <w:r/>
            <w:r>
              <w:rPr>
                <w:rFonts w:ascii="Consolas" w:hAnsi="Consolas"/>
                <w:b w:val="0"/>
                <w:i w:val="0"/>
                <w:color w:val="8B1A3A"/>
                <w:sz w:val="15"/>
              </w:rPr>
              <w:t>ms-qualidade</w:t>
            </w:r>
          </w:p>
        </w:tc>
        <w:tc>
          <w:tcPr>
            <w:tcW w:type="dxa" w:w="1361"/>
          </w:tcPr>
          <w:p>
            <w:pPr>
              <w:spacing w:after="0" w:line="240" w:lineRule="auto"/>
              <w:jc w:val="left"/>
            </w:pPr>
            <w:r/>
            <w:r>
              <w:rPr>
                <w:b w:val="0"/>
                <w:i w:val="0"/>
                <w:sz w:val="16"/>
              </w:rPr>
              <w:t xml:space="preserve">Sim por </w:t>
            </w:r>
            <w:r>
              <w:rPr>
                <w:rFonts w:ascii="Consolas" w:hAnsi="Consolas"/>
                <w:b w:val="0"/>
                <w:i w:val="0"/>
                <w:color w:val="8B1A3A"/>
                <w:sz w:val="15"/>
              </w:rPr>
              <w:t>idEvento</w:t>
            </w:r>
            <w:r>
              <w:rPr>
                <w:b w:val="0"/>
                <w:i w:val="0"/>
                <w:sz w:val="16"/>
              </w:rPr>
              <w:t>; tolerar retry da bridge</w:t>
            </w:r>
          </w:p>
        </w:tc>
      </w:tr>
      <w:tr>
        <w:tc>
          <w:tcPr>
            <w:tcW w:type="dxa" w:w="1361"/>
          </w:tcPr>
          <w:p>
            <w:pPr>
              <w:spacing w:after="0" w:line="240" w:lineRule="auto"/>
              <w:jc w:val="left"/>
            </w:pPr>
            <w:r/>
            <w:r>
              <w:rPr>
                <w:rFonts w:ascii="Consolas" w:hAnsi="Consolas"/>
                <w:b w:val="0"/>
                <w:i w:val="0"/>
                <w:color w:val="8B1A3A"/>
                <w:sz w:val="15"/>
              </w:rPr>
              <w:t>qualidade.alerta</w:t>
            </w:r>
          </w:p>
        </w:tc>
        <w:tc>
          <w:tcPr>
            <w:tcW w:type="dxa" w:w="3402"/>
          </w:tcPr>
          <w:p>
            <w:pPr>
              <w:spacing w:after="0" w:line="240" w:lineRule="auto"/>
              <w:jc w:val="left"/>
            </w:pPr>
            <w:r/>
            <w:r>
              <w:rPr>
                <w:rFonts w:ascii="Consolas" w:hAnsi="Consolas"/>
                <w:b w:val="0"/>
                <w:i w:val="0"/>
                <w:color w:val="8B1A3A"/>
                <w:sz w:val="15"/>
              </w:rPr>
              <w:t>alertaId</w:t>
            </w:r>
            <w:r>
              <w:rPr>
                <w:b w:val="0"/>
                <w:i w:val="0"/>
                <w:sz w:val="16"/>
              </w:rPr>
              <w:t xml:space="preserve">, </w:t>
            </w:r>
            <w:r>
              <w:rPr>
                <w:rFonts w:ascii="Consolas" w:hAnsi="Consolas"/>
                <w:b w:val="0"/>
                <w:i w:val="0"/>
                <w:color w:val="8B1A3A"/>
                <w:sz w:val="15"/>
              </w:rPr>
              <w:t>deviceId</w:t>
            </w:r>
            <w:r>
              <w:rPr>
                <w:b w:val="0"/>
                <w:i w:val="0"/>
                <w:sz w:val="16"/>
              </w:rPr>
              <w:t xml:space="preserve">, </w:t>
            </w:r>
            <w:r>
              <w:rPr>
                <w:rFonts w:ascii="Consolas" w:hAnsi="Consolas"/>
                <w:b w:val="0"/>
                <w:i w:val="0"/>
                <w:color w:val="8B1A3A"/>
                <w:sz w:val="15"/>
              </w:rPr>
              <w:t>adegaId</w:t>
            </w:r>
            <w:r>
              <w:rPr>
                <w:b w:val="0"/>
                <w:i w:val="0"/>
                <w:sz w:val="16"/>
              </w:rPr>
              <w:t>, tipo, valor, limite, severidade e intervalo</w:t>
            </w:r>
          </w:p>
        </w:tc>
        <w:tc>
          <w:tcPr>
            <w:tcW w:type="dxa" w:w="1474"/>
          </w:tcPr>
          <w:p>
            <w:pPr>
              <w:spacing w:after="0" w:line="240" w:lineRule="auto"/>
              <w:jc w:val="left"/>
            </w:pPr>
            <w:r/>
            <w:r>
              <w:rPr>
                <w:rFonts w:ascii="Consolas" w:hAnsi="Consolas"/>
                <w:b w:val="0"/>
                <w:i w:val="0"/>
                <w:color w:val="8B1A3A"/>
                <w:sz w:val="15"/>
              </w:rPr>
              <w:t>ms-qualidade</w:t>
            </w:r>
          </w:p>
        </w:tc>
        <w:tc>
          <w:tcPr>
            <w:tcW w:type="dxa" w:w="2041"/>
          </w:tcPr>
          <w:p>
            <w:pPr>
              <w:spacing w:after="0" w:line="240" w:lineRule="auto"/>
              <w:jc w:val="left"/>
            </w:pPr>
            <w:r/>
            <w:r>
              <w:rPr>
                <w:rFonts w:ascii="Consolas" w:hAnsi="Consolas"/>
                <w:b w:val="0"/>
                <w:i w:val="0"/>
                <w:color w:val="8B1A3A"/>
                <w:sz w:val="15"/>
              </w:rPr>
              <w:t>ms-estoque</w:t>
            </w:r>
            <w:r>
              <w:rPr>
                <w:b w:val="0"/>
                <w:i w:val="0"/>
                <w:sz w:val="16"/>
              </w:rPr>
              <w:t xml:space="preserve">, </w:t>
            </w:r>
            <w:r>
              <w:rPr>
                <w:rFonts w:ascii="Consolas" w:hAnsi="Consolas"/>
                <w:b w:val="0"/>
                <w:i w:val="0"/>
                <w:color w:val="8B1A3A"/>
                <w:sz w:val="15"/>
              </w:rPr>
              <w:t>ms-producao</w:t>
            </w:r>
            <w:r>
              <w:rPr>
                <w:b w:val="0"/>
                <w:i w:val="0"/>
                <w:sz w:val="16"/>
              </w:rPr>
              <w:t xml:space="preserve">, </w:t>
            </w:r>
            <w:r>
              <w:rPr>
                <w:rFonts w:ascii="Consolas" w:hAnsi="Consolas"/>
                <w:b w:val="0"/>
                <w:i w:val="0"/>
                <w:color w:val="8B1A3A"/>
                <w:sz w:val="15"/>
              </w:rPr>
              <w:t>ms-analytics</w:t>
            </w:r>
          </w:p>
        </w:tc>
        <w:tc>
          <w:tcPr>
            <w:tcW w:type="dxa" w:w="1361"/>
          </w:tcPr>
          <w:p>
            <w:pPr>
              <w:spacing w:after="0" w:line="240" w:lineRule="auto"/>
              <w:jc w:val="left"/>
            </w:pPr>
            <w:r/>
            <w:r>
              <w:rPr>
                <w:b w:val="0"/>
                <w:i w:val="0"/>
                <w:sz w:val="16"/>
              </w:rPr>
              <w:t xml:space="preserve">Sim por </w:t>
            </w:r>
            <w:r>
              <w:rPr>
                <w:rFonts w:ascii="Consolas" w:hAnsi="Consolas"/>
                <w:b w:val="0"/>
                <w:i w:val="0"/>
                <w:color w:val="8B1A3A"/>
                <w:sz w:val="15"/>
              </w:rPr>
              <w:t>alertaId</w:t>
            </w:r>
            <w:r>
              <w:rPr>
                <w:b w:val="0"/>
                <w:i w:val="0"/>
                <w:sz w:val="16"/>
              </w:rPr>
              <w:t xml:space="preserve"> e janela de alerta</w:t>
            </w:r>
          </w:p>
        </w:tc>
      </w:tr>
      <w:tr>
        <w:tc>
          <w:tcPr>
            <w:tcW w:type="dxa" w:w="1361"/>
          </w:tcPr>
          <w:p>
            <w:pPr>
              <w:spacing w:after="0" w:line="240" w:lineRule="auto"/>
              <w:jc w:val="left"/>
            </w:pPr>
            <w:r/>
            <w:r>
              <w:rPr>
                <w:rFonts w:ascii="Consolas" w:hAnsi="Consolas"/>
                <w:b w:val="0"/>
                <w:i w:val="0"/>
                <w:color w:val="8B1A3A"/>
                <w:sz w:val="15"/>
              </w:rPr>
              <w:t>notificacao.enviar</w:t>
            </w:r>
          </w:p>
        </w:tc>
        <w:tc>
          <w:tcPr>
            <w:tcW w:type="dxa" w:w="3402"/>
          </w:tcPr>
          <w:p>
            <w:pPr>
              <w:spacing w:after="0" w:line="240" w:lineRule="auto"/>
              <w:jc w:val="left"/>
            </w:pPr>
            <w:r/>
            <w:r>
              <w:rPr>
                <w:rFonts w:ascii="Consolas" w:hAnsi="Consolas"/>
                <w:b w:val="0"/>
                <w:i w:val="0"/>
                <w:color w:val="8B1A3A"/>
                <w:sz w:val="15"/>
              </w:rPr>
              <w:t>notificacaoId</w:t>
            </w:r>
            <w:r>
              <w:rPr>
                <w:b w:val="0"/>
                <w:i w:val="0"/>
                <w:sz w:val="16"/>
              </w:rPr>
              <w:t>, destinatário, canais, template, parâmetros e referência</w:t>
            </w:r>
          </w:p>
        </w:tc>
        <w:tc>
          <w:tcPr>
            <w:tcW w:type="dxa" w:w="1474"/>
          </w:tcPr>
          <w:p>
            <w:pPr>
              <w:spacing w:after="0" w:line="240" w:lineRule="auto"/>
              <w:jc w:val="left"/>
            </w:pPr>
            <w:r/>
            <w:r>
              <w:rPr>
                <w:rFonts w:ascii="Consolas" w:hAnsi="Consolas"/>
                <w:b w:val="0"/>
                <w:i w:val="0"/>
                <w:color w:val="8B1A3A"/>
                <w:sz w:val="15"/>
              </w:rPr>
              <w:t>ms-pedidos</w:t>
            </w:r>
            <w:r>
              <w:rPr>
                <w:b w:val="0"/>
                <w:i w:val="0"/>
                <w:sz w:val="16"/>
              </w:rPr>
              <w:t xml:space="preserve"> ou </w:t>
            </w:r>
            <w:r>
              <w:rPr>
                <w:rFonts w:ascii="Consolas" w:hAnsi="Consolas"/>
                <w:b w:val="0"/>
                <w:i w:val="0"/>
                <w:color w:val="8B1A3A"/>
                <w:sz w:val="15"/>
              </w:rPr>
              <w:t>ms-qualidade</w:t>
            </w:r>
          </w:p>
        </w:tc>
        <w:tc>
          <w:tcPr>
            <w:tcW w:type="dxa" w:w="2041"/>
          </w:tcPr>
          <w:p>
            <w:pPr>
              <w:spacing w:after="0" w:line="240" w:lineRule="auto"/>
              <w:jc w:val="left"/>
            </w:pPr>
            <w:r/>
            <w:r>
              <w:rPr>
                <w:rFonts w:ascii="Consolas" w:hAnsi="Consolas"/>
                <w:b w:val="0"/>
                <w:i w:val="0"/>
                <w:color w:val="8B1A3A"/>
                <w:sz w:val="15"/>
              </w:rPr>
              <w:t>ms-notificacoes</w:t>
            </w:r>
            <w:r>
              <w:rPr>
                <w:b w:val="0"/>
                <w:i w:val="0"/>
                <w:sz w:val="16"/>
              </w:rPr>
              <w:t xml:space="preserve">, </w:t>
            </w:r>
            <w:r>
              <w:rPr>
                <w:rFonts w:ascii="Consolas" w:hAnsi="Consolas"/>
                <w:b w:val="0"/>
                <w:i w:val="0"/>
                <w:color w:val="8B1A3A"/>
                <w:sz w:val="15"/>
              </w:rPr>
              <w:t>ms-analytics</w:t>
            </w:r>
          </w:p>
        </w:tc>
        <w:tc>
          <w:tcPr>
            <w:tcW w:type="dxa" w:w="1361"/>
          </w:tcPr>
          <w:p>
            <w:pPr>
              <w:spacing w:after="0" w:line="240" w:lineRule="auto"/>
              <w:jc w:val="left"/>
            </w:pPr>
            <w:r/>
            <w:r>
              <w:rPr>
                <w:b w:val="0"/>
                <w:i w:val="0"/>
                <w:sz w:val="16"/>
              </w:rPr>
              <w:t xml:space="preserve">Sim por </w:t>
            </w:r>
            <w:r>
              <w:rPr>
                <w:rFonts w:ascii="Consolas" w:hAnsi="Consolas"/>
                <w:b w:val="0"/>
                <w:i w:val="0"/>
                <w:color w:val="8B1A3A"/>
                <w:sz w:val="15"/>
              </w:rPr>
              <w:t>notificacaoId</w:t>
            </w:r>
            <w:r>
              <w:rPr>
                <w:b w:val="0"/>
                <w:i w:val="0"/>
                <w:sz w:val="16"/>
              </w:rPr>
              <w:t>; retry não pode reenviar indevidamente</w:t>
            </w:r>
          </w:p>
        </w:tc>
      </w:tr>
      <w:tr>
        <w:tc>
          <w:tcPr>
            <w:tcW w:type="dxa" w:w="1361"/>
          </w:tcPr>
          <w:p>
            <w:pPr>
              <w:spacing w:after="0" w:line="240" w:lineRule="auto"/>
              <w:jc w:val="left"/>
            </w:pPr>
            <w:r/>
            <w:r>
              <w:rPr>
                <w:rFonts w:ascii="Consolas" w:hAnsi="Consolas"/>
                <w:b w:val="0"/>
                <w:i w:val="0"/>
                <w:color w:val="8B1A3A"/>
                <w:sz w:val="15"/>
              </w:rPr>
              <w:t>cliente.anonimizado</w:t>
            </w:r>
          </w:p>
        </w:tc>
        <w:tc>
          <w:tcPr>
            <w:tcW w:type="dxa" w:w="3402"/>
          </w:tcPr>
          <w:p>
            <w:pPr>
              <w:spacing w:after="0" w:line="240" w:lineRule="auto"/>
              <w:jc w:val="left"/>
            </w:pPr>
            <w:r/>
            <w:r>
              <w:rPr>
                <w:rFonts w:ascii="Consolas" w:hAnsi="Consolas"/>
                <w:b w:val="0"/>
                <w:i w:val="0"/>
                <w:color w:val="8B1A3A"/>
                <w:sz w:val="15"/>
              </w:rPr>
              <w:t>clienteId</w:t>
            </w:r>
            <w:r>
              <w:rPr>
                <w:b w:val="0"/>
                <w:i w:val="0"/>
                <w:sz w:val="16"/>
              </w:rPr>
              <w:t>, data, motivo, versão da política e escopos a limpar</w:t>
            </w:r>
          </w:p>
        </w:tc>
        <w:tc>
          <w:tcPr>
            <w:tcW w:type="dxa" w:w="1474"/>
          </w:tcPr>
          <w:p>
            <w:pPr>
              <w:spacing w:after="0" w:line="240" w:lineRule="auto"/>
              <w:jc w:val="left"/>
            </w:pPr>
            <w:r/>
            <w:r>
              <w:rPr>
                <w:rFonts w:ascii="Consolas" w:hAnsi="Consolas"/>
                <w:b w:val="0"/>
                <w:i w:val="0"/>
                <w:color w:val="8B1A3A"/>
                <w:sz w:val="15"/>
              </w:rPr>
              <w:t>ms-clientes</w:t>
            </w:r>
          </w:p>
        </w:tc>
        <w:tc>
          <w:tcPr>
            <w:tcW w:type="dxa" w:w="2041"/>
          </w:tcPr>
          <w:p>
            <w:pPr>
              <w:spacing w:after="0" w:line="240" w:lineRule="auto"/>
              <w:jc w:val="left"/>
            </w:pPr>
            <w:r/>
            <w:r>
              <w:rPr>
                <w:rFonts w:ascii="Consolas" w:hAnsi="Consolas"/>
                <w:b w:val="0"/>
                <w:i w:val="0"/>
                <w:color w:val="8B1A3A"/>
                <w:sz w:val="15"/>
              </w:rPr>
              <w:t>ms-pedidos</w:t>
            </w:r>
            <w:r>
              <w:rPr>
                <w:b w:val="0"/>
                <w:i w:val="0"/>
                <w:sz w:val="16"/>
              </w:rPr>
              <w:t xml:space="preserve">, </w:t>
            </w:r>
            <w:r>
              <w:rPr>
                <w:rFonts w:ascii="Consolas" w:hAnsi="Consolas"/>
                <w:b w:val="0"/>
                <w:i w:val="0"/>
                <w:color w:val="8B1A3A"/>
                <w:sz w:val="15"/>
              </w:rPr>
              <w:t>ms-analytics</w:t>
            </w:r>
            <w:r>
              <w:rPr>
                <w:b w:val="0"/>
                <w:i w:val="0"/>
                <w:sz w:val="16"/>
              </w:rPr>
              <w:t xml:space="preserve">, </w:t>
            </w:r>
            <w:r>
              <w:rPr>
                <w:rFonts w:ascii="Consolas" w:hAnsi="Consolas"/>
                <w:b w:val="0"/>
                <w:i w:val="0"/>
                <w:color w:val="8B1A3A"/>
                <w:sz w:val="15"/>
              </w:rPr>
              <w:t>ms-notificacoes</w:t>
            </w:r>
          </w:p>
        </w:tc>
        <w:tc>
          <w:tcPr>
            <w:tcW w:type="dxa" w:w="1361"/>
          </w:tcPr>
          <w:p>
            <w:pPr>
              <w:spacing w:after="0" w:line="240" w:lineRule="auto"/>
              <w:jc w:val="left"/>
            </w:pPr>
            <w:r/>
            <w:r>
              <w:rPr>
                <w:b w:val="0"/>
                <w:i w:val="0"/>
                <w:sz w:val="16"/>
              </w:rPr>
              <w:t>Sim; anonimização é operação monotônica</w:t>
            </w:r>
          </w:p>
        </w:tc>
      </w:tr>
    </w:tbl>
    <w:p>
      <w:r>
        <w:rPr>
          <w:b w:val="0"/>
          <w:i w:val="0"/>
          <w:sz w:val="22"/>
        </w:rPr>
        <w:t xml:space="preserve">O consumidor confirma o offset somente depois de concluir a transação local. Um evento duplicado é reconhecido pelo </w:t>
      </w:r>
      <w:r>
        <w:rPr>
          <w:rFonts w:ascii="Consolas" w:hAnsi="Consolas"/>
          <w:b w:val="0"/>
          <w:i w:val="0"/>
          <w:color w:val="8B1A3A"/>
          <w:sz w:val="21"/>
        </w:rPr>
        <w:t>idEvento</w:t>
      </w:r>
      <w:r>
        <w:rPr>
          <w:b w:val="0"/>
          <w:i w:val="0"/>
          <w:sz w:val="22"/>
        </w:rPr>
        <w:t xml:space="preserve"> ou pela chave natural do domínio e não reaplica o efeito. Depois do limite de retry, o evento vai para, por exemplo, </w:t>
      </w:r>
      <w:r>
        <w:rPr>
          <w:rFonts w:ascii="Consolas" w:hAnsi="Consolas"/>
          <w:b w:val="0"/>
          <w:i w:val="0"/>
          <w:color w:val="8B1A3A"/>
          <w:sz w:val="21"/>
        </w:rPr>
        <w:t>pagamento.aprovado.DLQ</w:t>
      </w:r>
      <w:r>
        <w:rPr>
          <w:b w:val="0"/>
          <w:i w:val="0"/>
          <w:sz w:val="22"/>
        </w:rPr>
        <w:t>; a DLQ tem retenção de sete dias, alerta operacional e procedimento de reprocessamento após correção. Como Transactional Outbox não faz parte das seções 2 e 3, a publicação de cada evento deve usar retry do produtor, confirmação de entrega e alerta de reconciliação para o caso de a transação local ser confirmada e a publicação falhar; a adoção futura de Outbox exigiria atualização do diagrama e da seção 3.</w:t>
      </w:r>
    </w:p>
    <w:p>
      <w:pPr>
        <w:pStyle w:val="Heading2"/>
      </w:pPr>
      <w:r>
        <w:rPr>
          <w:b w:val="0"/>
          <w:i w:val="0"/>
          <w:sz w:val="22"/>
        </w:rPr>
        <w:t>4.4 Fluxos ponta a ponta</w:t>
      </w:r>
    </w:p>
    <w:p>
      <w:pPr>
        <w:pStyle w:val="Heading3"/>
      </w:pPr>
      <w:r>
        <w:rPr>
          <w:b w:val="0"/>
          <w:i w:val="0"/>
          <w:sz w:val="22"/>
        </w:rPr>
        <w:t>4.4.1 Compra de vinho</w:t>
      </w:r>
    </w:p>
    <w:p>
      <w:pPr>
        <w:ind w:left="340" w:hanging="340"/>
      </w:pPr>
      <w:r>
        <w:rPr>
          <w:b w:val="0"/>
          <w:i w:val="0"/>
          <w:sz w:val="22"/>
        </w:rPr>
        <w:t xml:space="preserve">1. O app envia </w:t>
      </w:r>
      <w:r>
        <w:rPr>
          <w:rFonts w:ascii="Consolas" w:hAnsi="Consolas"/>
          <w:b w:val="0"/>
          <w:i w:val="0"/>
          <w:color w:val="8B1A3A"/>
          <w:sz w:val="21"/>
        </w:rPr>
        <w:t>POST /v1/pedidos</w:t>
      </w:r>
      <w:r>
        <w:rPr>
          <w:b w:val="0"/>
          <w:i w:val="0"/>
          <w:sz w:val="22"/>
        </w:rPr>
        <w:t xml:space="preserve"> ao gateway. O gateway valida o JWT e encaminha ao </w:t>
      </w:r>
      <w:r>
        <w:rPr>
          <w:rFonts w:ascii="Consolas" w:hAnsi="Consolas"/>
          <w:b w:val="0"/>
          <w:i w:val="0"/>
          <w:color w:val="8B1A3A"/>
          <w:sz w:val="21"/>
        </w:rPr>
        <w:t>ms-pedidos</w:t>
      </w:r>
      <w:r>
        <w:rPr>
          <w:b w:val="0"/>
          <w:i w:val="0"/>
          <w:sz w:val="22"/>
        </w:rPr>
        <w:t xml:space="preserve">, que consulta o </w:t>
      </w:r>
      <w:r>
        <w:rPr>
          <w:rFonts w:ascii="Consolas" w:hAnsi="Consolas"/>
          <w:b w:val="0"/>
          <w:i w:val="0"/>
          <w:color w:val="8B1A3A"/>
          <w:sz w:val="21"/>
        </w:rPr>
        <w:t>ms-catalogo</w:t>
      </w:r>
      <w:r>
        <w:rPr>
          <w:b w:val="0"/>
          <w:i w:val="0"/>
          <w:sz w:val="22"/>
        </w:rPr>
        <w:t xml:space="preserve"> para preço/produto e o </w:t>
      </w:r>
      <w:r>
        <w:rPr>
          <w:rFonts w:ascii="Consolas" w:hAnsi="Consolas"/>
          <w:b w:val="0"/>
          <w:i w:val="0"/>
          <w:color w:val="8B1A3A"/>
          <w:sz w:val="21"/>
        </w:rPr>
        <w:t>ms-clientes</w:t>
      </w:r>
      <w:r>
        <w:rPr>
          <w:b w:val="0"/>
          <w:i w:val="0"/>
          <w:sz w:val="22"/>
        </w:rPr>
        <w:t xml:space="preserve"> para a validação do comprador. A resposta síncrona confirma apenas que o pedido foi aceito, não que o pagamento terminou.</w:t>
      </w:r>
    </w:p>
    <w:p>
      <w:pPr>
        <w:ind w:left="340" w:hanging="340"/>
      </w:pPr>
      <w:r>
        <w:rPr>
          <w:b w:val="0"/>
          <w:i w:val="0"/>
          <w:sz w:val="22"/>
        </w:rPr>
        <w:t xml:space="preserve">2. O </w:t>
      </w:r>
      <w:r>
        <w:rPr>
          <w:rFonts w:ascii="Consolas" w:hAnsi="Consolas"/>
          <w:b w:val="0"/>
          <w:i w:val="0"/>
          <w:color w:val="8B1A3A"/>
          <w:sz w:val="21"/>
        </w:rPr>
        <w:t>ms-pedidos</w:t>
      </w:r>
      <w:r>
        <w:rPr>
          <w:b w:val="0"/>
          <w:i w:val="0"/>
          <w:sz w:val="22"/>
        </w:rPr>
        <w:t xml:space="preserve"> grava o pedido como </w:t>
      </w:r>
      <w:r>
        <w:rPr>
          <w:rFonts w:ascii="Consolas" w:hAnsi="Consolas"/>
          <w:b w:val="0"/>
          <w:i w:val="0"/>
          <w:color w:val="8B1A3A"/>
          <w:sz w:val="21"/>
        </w:rPr>
        <w:t>aguardando_reserva</w:t>
      </w:r>
      <w:r>
        <w:rPr>
          <w:b w:val="0"/>
          <w:i w:val="0"/>
          <w:sz w:val="22"/>
        </w:rPr>
        <w:t xml:space="preserve"> e publica </w:t>
      </w:r>
      <w:r>
        <w:rPr>
          <w:rFonts w:ascii="Consolas" w:hAnsi="Consolas"/>
          <w:b w:val="0"/>
          <w:i w:val="0"/>
          <w:color w:val="8B1A3A"/>
          <w:sz w:val="21"/>
        </w:rPr>
        <w:t>pedido.criado</w:t>
      </w:r>
      <w:r>
        <w:rPr>
          <w:b w:val="0"/>
          <w:i w:val="0"/>
          <w:sz w:val="22"/>
        </w:rPr>
        <w:t xml:space="preserve">. O </w:t>
      </w:r>
      <w:r>
        <w:rPr>
          <w:rFonts w:ascii="Consolas" w:hAnsi="Consolas"/>
          <w:b w:val="0"/>
          <w:i w:val="0"/>
          <w:color w:val="8B1A3A"/>
          <w:sz w:val="21"/>
        </w:rPr>
        <w:t>ms-estoque</w:t>
      </w:r>
      <w:r>
        <w:rPr>
          <w:b w:val="0"/>
          <w:i w:val="0"/>
          <w:sz w:val="22"/>
        </w:rPr>
        <w:t xml:space="preserve"> consome, verifica a posição, cria a Reserva e publica </w:t>
      </w:r>
      <w:r>
        <w:rPr>
          <w:rFonts w:ascii="Consolas" w:hAnsi="Consolas"/>
          <w:b w:val="0"/>
          <w:i w:val="0"/>
          <w:color w:val="8B1A3A"/>
          <w:sz w:val="21"/>
        </w:rPr>
        <w:t>estoque.reservado</w:t>
      </w:r>
      <w:r>
        <w:rPr>
          <w:b w:val="0"/>
          <w:i w:val="0"/>
          <w:sz w:val="22"/>
        </w:rPr>
        <w:t>.</w:t>
      </w:r>
    </w:p>
    <w:p>
      <w:pPr>
        <w:ind w:left="340" w:hanging="340"/>
      </w:pPr>
      <w:r>
        <w:rPr>
          <w:b w:val="0"/>
          <w:i w:val="0"/>
          <w:sz w:val="22"/>
        </w:rPr>
        <w:t xml:space="preserve">3. O </w:t>
      </w:r>
      <w:r>
        <w:rPr>
          <w:rFonts w:ascii="Consolas" w:hAnsi="Consolas"/>
          <w:b w:val="0"/>
          <w:i w:val="0"/>
          <w:color w:val="8B1A3A"/>
          <w:sz w:val="21"/>
        </w:rPr>
        <w:t>ms-pagamentos</w:t>
      </w:r>
      <w:r>
        <w:rPr>
          <w:b w:val="0"/>
          <w:i w:val="0"/>
          <w:sz w:val="22"/>
        </w:rPr>
        <w:t xml:space="preserve"> consome </w:t>
      </w:r>
      <w:r>
        <w:rPr>
          <w:rFonts w:ascii="Consolas" w:hAnsi="Consolas"/>
          <w:b w:val="0"/>
          <w:i w:val="0"/>
          <w:color w:val="8B1A3A"/>
          <w:sz w:val="21"/>
        </w:rPr>
        <w:t>estoque.reservado</w:t>
      </w:r>
      <w:r>
        <w:rPr>
          <w:b w:val="0"/>
          <w:i w:val="0"/>
          <w:sz w:val="22"/>
        </w:rPr>
        <w:t xml:space="preserve">, cobra o meio tokenizado e publica </w:t>
      </w:r>
      <w:r>
        <w:rPr>
          <w:rFonts w:ascii="Consolas" w:hAnsi="Consolas"/>
          <w:b w:val="0"/>
          <w:i w:val="0"/>
          <w:color w:val="8B1A3A"/>
          <w:sz w:val="21"/>
        </w:rPr>
        <w:t>pagamento.aprovado</w:t>
      </w:r>
      <w:r>
        <w:rPr>
          <w:b w:val="0"/>
          <w:i w:val="0"/>
          <w:sz w:val="22"/>
        </w:rPr>
        <w:t xml:space="preserve"> ou </w:t>
      </w:r>
      <w:r>
        <w:rPr>
          <w:rFonts w:ascii="Consolas" w:hAnsi="Consolas"/>
          <w:b w:val="0"/>
          <w:i w:val="0"/>
          <w:color w:val="8B1A3A"/>
          <w:sz w:val="21"/>
        </w:rPr>
        <w:t>pagamento.recusado</w:t>
      </w:r>
      <w:r>
        <w:rPr>
          <w:b w:val="0"/>
          <w:i w:val="0"/>
          <w:sz w:val="22"/>
        </w:rPr>
        <w:t xml:space="preserve">. Em aprovação, </w:t>
      </w:r>
      <w:r>
        <w:rPr>
          <w:rFonts w:ascii="Consolas" w:hAnsi="Consolas"/>
          <w:b w:val="0"/>
          <w:i w:val="0"/>
          <w:color w:val="8B1A3A"/>
          <w:sz w:val="21"/>
        </w:rPr>
        <w:t>ms-pedidos</w:t>
      </w:r>
      <w:r>
        <w:rPr>
          <w:b w:val="0"/>
          <w:i w:val="0"/>
          <w:sz w:val="22"/>
        </w:rPr>
        <w:t xml:space="preserve"> confirma o pedido e publica </w:t>
      </w:r>
      <w:r>
        <w:rPr>
          <w:rFonts w:ascii="Consolas" w:hAnsi="Consolas"/>
          <w:b w:val="0"/>
          <w:i w:val="0"/>
          <w:color w:val="8B1A3A"/>
          <w:sz w:val="21"/>
        </w:rPr>
        <w:t>notificacao.enviar</w:t>
      </w:r>
      <w:r>
        <w:rPr>
          <w:b w:val="0"/>
          <w:i w:val="0"/>
          <w:sz w:val="22"/>
        </w:rPr>
        <w:t xml:space="preserve">; </w:t>
      </w:r>
      <w:r>
        <w:rPr>
          <w:rFonts w:ascii="Consolas" w:hAnsi="Consolas"/>
          <w:b w:val="0"/>
          <w:i w:val="0"/>
          <w:color w:val="8B1A3A"/>
          <w:sz w:val="21"/>
        </w:rPr>
        <w:t>ms-notificacoes</w:t>
      </w:r>
      <w:r>
        <w:rPr>
          <w:b w:val="0"/>
          <w:i w:val="0"/>
          <w:sz w:val="22"/>
        </w:rPr>
        <w:t xml:space="preserve"> avisa o cliente e </w:t>
      </w:r>
      <w:r>
        <w:rPr>
          <w:rFonts w:ascii="Consolas" w:hAnsi="Consolas"/>
          <w:b w:val="0"/>
          <w:i w:val="0"/>
          <w:color w:val="8B1A3A"/>
          <w:sz w:val="21"/>
        </w:rPr>
        <w:t>ms-analytics</w:t>
      </w:r>
      <w:r>
        <w:rPr>
          <w:b w:val="0"/>
          <w:i w:val="0"/>
          <w:sz w:val="22"/>
        </w:rPr>
        <w:t xml:space="preserve"> registra o fato. Em paralelo, </w:t>
      </w:r>
      <w:r>
        <w:rPr>
          <w:rFonts w:ascii="Consolas" w:hAnsi="Consolas"/>
          <w:b w:val="0"/>
          <w:i w:val="0"/>
          <w:color w:val="8B1A3A"/>
          <w:sz w:val="21"/>
        </w:rPr>
        <w:t>ms-estoque</w:t>
      </w:r>
      <w:r>
        <w:rPr>
          <w:b w:val="0"/>
          <w:i w:val="0"/>
          <w:sz w:val="22"/>
        </w:rPr>
        <w:t xml:space="preserve"> consome </w:t>
      </w:r>
      <w:r>
        <w:rPr>
          <w:rFonts w:ascii="Consolas" w:hAnsi="Consolas"/>
          <w:b w:val="0"/>
          <w:i w:val="0"/>
          <w:color w:val="8B1A3A"/>
          <w:sz w:val="21"/>
        </w:rPr>
        <w:t>pagamento.aprovado</w:t>
      </w:r>
      <w:r>
        <w:rPr>
          <w:b w:val="0"/>
          <w:i w:val="0"/>
          <w:sz w:val="22"/>
        </w:rPr>
        <w:t xml:space="preserve"> e faz a baixa definitiva. Essa ordem é uma sequência de negócio, não uma cadeia síncrona: consumidores Kafka podem processar em paralelo e não há garantia temporal entre o aviso e a baixa. O </w:t>
      </w:r>
      <w:r>
        <w:rPr>
          <w:rFonts w:ascii="Consolas" w:hAnsi="Consolas"/>
          <w:b w:val="0"/>
          <w:i w:val="0"/>
          <w:color w:val="8B1A3A"/>
          <w:sz w:val="21"/>
        </w:rPr>
        <w:t>ms-lotes</w:t>
      </w:r>
      <w:r>
        <w:rPr>
          <w:b w:val="0"/>
          <w:i w:val="0"/>
          <w:sz w:val="22"/>
        </w:rPr>
        <w:t xml:space="preserve"> não participa da baixa da venda, pois sua rastreabilidade é criada pelo evento </w:t>
      </w:r>
      <w:r>
        <w:rPr>
          <w:rFonts w:ascii="Consolas" w:hAnsi="Consolas"/>
          <w:b w:val="0"/>
          <w:i w:val="0"/>
          <w:color w:val="8B1A3A"/>
          <w:sz w:val="21"/>
        </w:rPr>
        <w:t>lote.criado</w:t>
      </w:r>
      <w:r>
        <w:rPr>
          <w:b w:val="0"/>
          <w:i w:val="0"/>
          <w:sz w:val="22"/>
        </w:rPr>
        <w:t>.</w:t>
      </w:r>
    </w:p>
    <w:p>
      <w:pPr>
        <w:ind w:left="340" w:hanging="340"/>
      </w:pPr>
      <w:r>
        <w:rPr>
          <w:b w:val="0"/>
          <w:i w:val="0"/>
          <w:sz w:val="22"/>
        </w:rPr>
        <w:t xml:space="preserve">4. Em recusa, timeout definitivo ou antifraude negativo, </w:t>
      </w:r>
      <w:r>
        <w:rPr>
          <w:rFonts w:ascii="Consolas" w:hAnsi="Consolas"/>
          <w:b w:val="0"/>
          <w:i w:val="0"/>
          <w:color w:val="8B1A3A"/>
          <w:sz w:val="21"/>
        </w:rPr>
        <w:t>pagamento.recusado</w:t>
      </w:r>
      <w:r>
        <w:rPr>
          <w:b w:val="0"/>
          <w:i w:val="0"/>
          <w:sz w:val="22"/>
        </w:rPr>
        <w:t xml:space="preserve"> faz o </w:t>
      </w:r>
      <w:r>
        <w:rPr>
          <w:rFonts w:ascii="Consolas" w:hAnsi="Consolas"/>
          <w:b w:val="0"/>
          <w:i w:val="0"/>
          <w:color w:val="8B1A3A"/>
          <w:sz w:val="21"/>
        </w:rPr>
        <w:t>ms-estoque</w:t>
      </w:r>
      <w:r>
        <w:rPr>
          <w:b w:val="0"/>
          <w:i w:val="0"/>
          <w:sz w:val="22"/>
        </w:rPr>
        <w:t xml:space="preserve"> liberar a Reserva e o </w:t>
      </w:r>
      <w:r>
        <w:rPr>
          <w:rFonts w:ascii="Consolas" w:hAnsi="Consolas"/>
          <w:b w:val="0"/>
          <w:i w:val="0"/>
          <w:color w:val="8B1A3A"/>
          <w:sz w:val="21"/>
        </w:rPr>
        <w:t>ms-pedidos</w:t>
      </w:r>
      <w:r>
        <w:rPr>
          <w:b w:val="0"/>
          <w:i w:val="0"/>
          <w:sz w:val="22"/>
        </w:rPr>
        <w:t xml:space="preserve"> marcar o pedido como </w:t>
      </w:r>
      <w:r>
        <w:rPr>
          <w:rFonts w:ascii="Consolas" w:hAnsi="Consolas"/>
          <w:b w:val="0"/>
          <w:i w:val="0"/>
          <w:color w:val="8B1A3A"/>
          <w:sz w:val="21"/>
        </w:rPr>
        <w:t>cancelado</w:t>
      </w:r>
      <w:r>
        <w:rPr>
          <w:b w:val="0"/>
          <w:i w:val="0"/>
          <w:sz w:val="22"/>
        </w:rPr>
        <w:t xml:space="preserve">; </w:t>
      </w:r>
      <w:r>
        <w:rPr>
          <w:rFonts w:ascii="Consolas" w:hAnsi="Consolas"/>
          <w:b w:val="0"/>
          <w:i w:val="0"/>
          <w:color w:val="8B1A3A"/>
          <w:sz w:val="21"/>
        </w:rPr>
        <w:t>ms-notificacoes</w:t>
      </w:r>
      <w:r>
        <w:rPr>
          <w:b w:val="0"/>
          <w:i w:val="0"/>
          <w:sz w:val="22"/>
        </w:rPr>
        <w:t xml:space="preserve"> informa a falha. Essa é a compensação da Saga: não há transação distribuída e o serviço que criou a reserva é o único que a desfaz.</w:t>
      </w:r>
    </w:p>
    <w:p>
      <w:pPr>
        <w:ind w:left="340" w:hanging="340"/>
      </w:pPr>
      <w:r>
        <w:rPr>
          <w:b w:val="0"/>
          <w:i w:val="0"/>
          <w:sz w:val="22"/>
        </w:rPr>
        <w:t xml:space="preserve">5. Se uma mensagem for repetida, </w:t>
      </w:r>
      <w:r>
        <w:rPr>
          <w:rFonts w:ascii="Consolas" w:hAnsi="Consolas"/>
          <w:b w:val="0"/>
          <w:i w:val="0"/>
          <w:color w:val="8B1A3A"/>
          <w:sz w:val="21"/>
        </w:rPr>
        <w:t>pedidoId</w:t>
      </w:r>
      <w:r>
        <w:rPr>
          <w:b w:val="0"/>
          <w:i w:val="0"/>
          <w:sz w:val="22"/>
        </w:rPr>
        <w:t xml:space="preserve">, </w:t>
      </w:r>
      <w:r>
        <w:rPr>
          <w:rFonts w:ascii="Consolas" w:hAnsi="Consolas"/>
          <w:b w:val="0"/>
          <w:i w:val="0"/>
          <w:color w:val="8B1A3A"/>
          <w:sz w:val="21"/>
        </w:rPr>
        <w:t>reservaId</w:t>
      </w:r>
      <w:r>
        <w:rPr>
          <w:b w:val="0"/>
          <w:i w:val="0"/>
          <w:sz w:val="22"/>
        </w:rPr>
        <w:t xml:space="preserve"> e </w:t>
      </w:r>
      <w:r>
        <w:rPr>
          <w:rFonts w:ascii="Consolas" w:hAnsi="Consolas"/>
          <w:b w:val="0"/>
          <w:i w:val="0"/>
          <w:color w:val="8B1A3A"/>
          <w:sz w:val="21"/>
        </w:rPr>
        <w:t>pagamentoId</w:t>
      </w:r>
      <w:r>
        <w:rPr>
          <w:b w:val="0"/>
          <w:i w:val="0"/>
          <w:sz w:val="22"/>
        </w:rPr>
        <w:t xml:space="preserve"> impedem duplicar pedido, reserva, cobrança, baixa ou aviso. Se houver mensagem inválida, o consumidor não bloqueia a partição indefinidamente: envia para a DLQ e gera alerta para reprocessamento.</w:t>
      </w:r>
    </w:p>
    <w:p>
      <w:pPr>
        <w:pStyle w:val="Heading3"/>
      </w:pPr>
      <w:r>
        <w:rPr>
          <w:b w:val="0"/>
          <w:i w:val="0"/>
          <w:sz w:val="22"/>
        </w:rPr>
        <w:t>4.4.2 Alerta de temperatura da adega</w:t>
      </w:r>
    </w:p>
    <w:p>
      <w:r>
        <w:rPr>
          <w:b w:val="0"/>
          <w:i w:val="0"/>
          <w:sz w:val="22"/>
        </w:rPr>
        <w:t>O sensor Arduino (</w:t>
      </w:r>
      <w:r>
        <w:rPr>
          <w:rFonts w:ascii="Consolas" w:hAnsi="Consolas"/>
          <w:b w:val="0"/>
          <w:i w:val="0"/>
          <w:color w:val="8B1A3A"/>
          <w:sz w:val="21"/>
        </w:rPr>
        <w:t>Arduino/VinheriaSensores/VinheriaSensores.ino</w:t>
      </w:r>
      <w:r>
        <w:rPr>
          <w:b w:val="0"/>
          <w:i w:val="0"/>
          <w:sz w:val="22"/>
        </w:rPr>
        <w:t>) publica a leitura no caminho MQTT existente; a ponte serial e o fluxo Node-RED (</w:t>
      </w:r>
      <w:r>
        <w:rPr>
          <w:rFonts w:ascii="Consolas" w:hAnsi="Consolas"/>
          <w:b w:val="0"/>
          <w:i w:val="0"/>
          <w:color w:val="8B1A3A"/>
          <w:sz w:val="21"/>
        </w:rPr>
        <w:t>MQTT/node_red_vinheria_flow.json</w:t>
      </w:r>
      <w:r>
        <w:rPr>
          <w:b w:val="0"/>
          <w:i w:val="0"/>
          <w:sz w:val="22"/>
        </w:rPr>
        <w:t>) levam o dado ao broker e a bridge (</w:t>
      </w:r>
      <w:r>
        <w:rPr>
          <w:rFonts w:ascii="Consolas" w:hAnsi="Consolas"/>
          <w:b w:val="0"/>
          <w:i w:val="0"/>
          <w:color w:val="8B1A3A"/>
          <w:sz w:val="21"/>
        </w:rPr>
        <w:t>MQTT/bridge_wokwi_nodered.py</w:t>
      </w:r>
      <w:r>
        <w:rPr>
          <w:b w:val="0"/>
          <w:i w:val="0"/>
          <w:sz w:val="22"/>
        </w:rPr>
        <w:t xml:space="preserve">) autentica-se nele e traduz a telemetria no evento Kafka </w:t>
      </w:r>
      <w:r>
        <w:rPr>
          <w:rFonts w:ascii="Consolas" w:hAnsi="Consolas"/>
          <w:b w:val="0"/>
          <w:i w:val="0"/>
          <w:color w:val="8B1A3A"/>
          <w:sz w:val="21"/>
        </w:rPr>
        <w:t>qualidade.leitura</w:t>
      </w:r>
      <w:r>
        <w:rPr>
          <w:b w:val="0"/>
          <w:i w:val="0"/>
          <w:sz w:val="22"/>
        </w:rPr>
        <w:t xml:space="preserve">, particionado por </w:t>
      </w:r>
      <w:r>
        <w:rPr>
          <w:rFonts w:ascii="Consolas" w:hAnsi="Consolas"/>
          <w:b w:val="0"/>
          <w:i w:val="0"/>
          <w:color w:val="8B1A3A"/>
          <w:sz w:val="21"/>
        </w:rPr>
        <w:t>deviceId</w:t>
      </w:r>
      <w:r>
        <w:rPr>
          <w:b w:val="0"/>
          <w:i w:val="0"/>
          <w:sz w:val="22"/>
        </w:rPr>
        <w:t xml:space="preserve">. O </w:t>
      </w:r>
      <w:r>
        <w:rPr>
          <w:rFonts w:ascii="Consolas" w:hAnsi="Consolas"/>
          <w:b w:val="0"/>
          <w:i w:val="0"/>
          <w:color w:val="8B1A3A"/>
          <w:sz w:val="21"/>
        </w:rPr>
        <w:t>ms-qualidade</w:t>
      </w:r>
      <w:r>
        <w:rPr>
          <w:b w:val="0"/>
          <w:i w:val="0"/>
          <w:sz w:val="22"/>
        </w:rPr>
        <w:t xml:space="preserve"> persiste a série temporal, compara temperatura e umidade com a faixa da adega e, fora do limite, publica </w:t>
      </w:r>
      <w:r>
        <w:rPr>
          <w:rFonts w:ascii="Consolas" w:hAnsi="Consolas"/>
          <w:b w:val="0"/>
          <w:i w:val="0"/>
          <w:color w:val="8B1A3A"/>
          <w:sz w:val="21"/>
        </w:rPr>
        <w:t>qualidade.alerta</w:t>
      </w:r>
      <w:r>
        <w:rPr>
          <w:b w:val="0"/>
          <w:i w:val="0"/>
          <w:sz w:val="22"/>
        </w:rPr>
        <w:t xml:space="preserve"> para </w:t>
      </w:r>
      <w:r>
        <w:rPr>
          <w:rFonts w:ascii="Consolas" w:hAnsi="Consolas"/>
          <w:b w:val="0"/>
          <w:i w:val="0"/>
          <w:color w:val="8B1A3A"/>
          <w:sz w:val="21"/>
        </w:rPr>
        <w:t>ms-estoque</w:t>
      </w:r>
      <w:r>
        <w:rPr>
          <w:b w:val="0"/>
          <w:i w:val="0"/>
          <w:sz w:val="22"/>
        </w:rPr>
        <w:t xml:space="preserve">, </w:t>
      </w:r>
      <w:r>
        <w:rPr>
          <w:rFonts w:ascii="Consolas" w:hAnsi="Consolas"/>
          <w:b w:val="0"/>
          <w:i w:val="0"/>
          <w:color w:val="8B1A3A"/>
          <w:sz w:val="21"/>
        </w:rPr>
        <w:t>ms-producao</w:t>
      </w:r>
      <w:r>
        <w:rPr>
          <w:b w:val="0"/>
          <w:i w:val="0"/>
          <w:sz w:val="22"/>
        </w:rPr>
        <w:t xml:space="preserve"> e </w:t>
      </w:r>
      <w:r>
        <w:rPr>
          <w:rFonts w:ascii="Consolas" w:hAnsi="Consolas"/>
          <w:b w:val="0"/>
          <w:i w:val="0"/>
          <w:color w:val="8B1A3A"/>
          <w:sz w:val="21"/>
        </w:rPr>
        <w:t>ms-analytics</w:t>
      </w:r>
      <w:r>
        <w:rPr>
          <w:b w:val="0"/>
          <w:i w:val="0"/>
          <w:sz w:val="22"/>
        </w:rPr>
        <w:t xml:space="preserve">. Para avisar pessoas, publica </w:t>
      </w:r>
      <w:r>
        <w:rPr>
          <w:rFonts w:ascii="Consolas" w:hAnsi="Consolas"/>
          <w:b w:val="0"/>
          <w:i w:val="0"/>
          <w:color w:val="8B1A3A"/>
          <w:sz w:val="21"/>
        </w:rPr>
        <w:t>notificacao.enviar</w:t>
      </w:r>
      <w:r>
        <w:rPr>
          <w:b w:val="0"/>
          <w:i w:val="0"/>
          <w:sz w:val="22"/>
        </w:rPr>
        <w:t xml:space="preserve">, consumido pelo </w:t>
      </w:r>
      <w:r>
        <w:rPr>
          <w:rFonts w:ascii="Consolas" w:hAnsi="Consolas"/>
          <w:b w:val="0"/>
          <w:i w:val="0"/>
          <w:color w:val="8B1A3A"/>
          <w:sz w:val="21"/>
        </w:rPr>
        <w:t>ms-notificacoes</w:t>
      </w:r>
      <w:r>
        <w:rPr>
          <w:b w:val="0"/>
          <w:i w:val="0"/>
          <w:sz w:val="22"/>
        </w:rPr>
        <w:t>.</w:t>
      </w:r>
    </w:p>
    <w:p>
      <w:r>
        <w:rPr>
          <w:b w:val="0"/>
          <w:i w:val="0"/>
          <w:sz w:val="22"/>
        </w:rPr>
        <w:t xml:space="preserve">O alerta também fica registrado para auditoria com </w:t>
      </w:r>
      <w:r>
        <w:rPr>
          <w:rFonts w:ascii="Consolas" w:hAnsi="Consolas"/>
          <w:b w:val="0"/>
          <w:i w:val="0"/>
          <w:color w:val="8B1A3A"/>
          <w:sz w:val="21"/>
        </w:rPr>
        <w:t>alertaId</w:t>
      </w:r>
      <w:r>
        <w:rPr>
          <w:b w:val="0"/>
          <w:i w:val="0"/>
          <w:sz w:val="22"/>
        </w:rPr>
        <w:t xml:space="preserve">, valor, limite, horário e severidade. Uma leitura duplicada não gera dois alertas porque o consumidor usa </w:t>
      </w:r>
      <w:r>
        <w:rPr>
          <w:rFonts w:ascii="Consolas" w:hAnsi="Consolas"/>
          <w:b w:val="0"/>
          <w:i w:val="0"/>
          <w:color w:val="8B1A3A"/>
          <w:sz w:val="21"/>
        </w:rPr>
        <w:t>idEvento</w:t>
      </w:r>
      <w:r>
        <w:rPr>
          <w:b w:val="0"/>
          <w:i w:val="0"/>
          <w:sz w:val="22"/>
        </w:rPr>
        <w:t xml:space="preserve"> e a regra de deduplicação por </w:t>
      </w:r>
      <w:r>
        <w:rPr>
          <w:rFonts w:ascii="Consolas" w:hAnsi="Consolas"/>
          <w:b w:val="0"/>
          <w:i w:val="0"/>
          <w:color w:val="8B1A3A"/>
          <w:sz w:val="21"/>
        </w:rPr>
        <w:t>alertaId</w:t>
      </w:r>
      <w:r>
        <w:rPr>
          <w:b w:val="0"/>
          <w:i w:val="0"/>
          <w:sz w:val="22"/>
        </w:rPr>
        <w:t xml:space="preserve">/janela. Se </w:t>
      </w:r>
      <w:r>
        <w:rPr>
          <w:rFonts w:ascii="Consolas" w:hAnsi="Consolas"/>
          <w:b w:val="0"/>
          <w:i w:val="0"/>
          <w:color w:val="8B1A3A"/>
          <w:sz w:val="21"/>
        </w:rPr>
        <w:t>ms-notificacoes</w:t>
      </w:r>
      <w:r>
        <w:rPr>
          <w:b w:val="0"/>
          <w:i w:val="0"/>
          <w:sz w:val="22"/>
        </w:rPr>
        <w:t xml:space="preserve"> estiver indisponível, o Kafka acumula as mensagens; se o processamento falhar repetidamente, </w:t>
      </w:r>
      <w:r>
        <w:rPr>
          <w:rFonts w:ascii="Consolas" w:hAnsi="Consolas"/>
          <w:b w:val="0"/>
          <w:i w:val="0"/>
          <w:color w:val="8B1A3A"/>
          <w:sz w:val="21"/>
        </w:rPr>
        <w:t>notificacao.enviar.DLQ</w:t>
      </w:r>
      <w:r>
        <w:rPr>
          <w:b w:val="0"/>
          <w:i w:val="0"/>
          <w:sz w:val="22"/>
        </w:rPr>
        <w:t xml:space="preserve"> recebe a mensagem e o lag dispara um alerta, sem interromper a ingestão do sensor.</w:t>
      </w:r>
    </w:p>
    <w:p>
      <w:pPr>
        <w:pStyle w:val="Heading3"/>
      </w:pPr>
      <w:r>
        <w:rPr>
          <w:b w:val="0"/>
          <w:i w:val="0"/>
          <w:sz w:val="22"/>
        </w:rPr>
        <w:t>4.4.3 Rastreabilidade e consulta do dia a dia</w:t>
      </w:r>
    </w:p>
    <w:p>
      <w:r>
        <w:rPr>
          <w:b w:val="0"/>
          <w:i w:val="0"/>
          <w:sz w:val="22"/>
        </w:rPr>
        <w:t xml:space="preserve">No fluxo produtivo, o </w:t>
      </w:r>
      <w:r>
        <w:rPr>
          <w:rFonts w:ascii="Consolas" w:hAnsi="Consolas"/>
          <w:b w:val="0"/>
          <w:i w:val="0"/>
          <w:color w:val="8B1A3A"/>
          <w:sz w:val="21"/>
        </w:rPr>
        <w:t>ms-lotes</w:t>
      </w:r>
      <w:r>
        <w:rPr>
          <w:b w:val="0"/>
          <w:i w:val="0"/>
          <w:sz w:val="22"/>
        </w:rPr>
        <w:t xml:space="preserve"> registra o lote no engarrafamento e publica </w:t>
      </w:r>
      <w:r>
        <w:rPr>
          <w:rFonts w:ascii="Consolas" w:hAnsi="Consolas"/>
          <w:b w:val="0"/>
          <w:i w:val="0"/>
          <w:color w:val="8B1A3A"/>
          <w:sz w:val="21"/>
        </w:rPr>
        <w:t>lote.criado</w:t>
      </w:r>
      <w:r>
        <w:rPr>
          <w:b w:val="0"/>
          <w:i w:val="0"/>
          <w:sz w:val="22"/>
        </w:rPr>
        <w:t xml:space="preserve"> — é ele o dono de Lote, Genealogia e QR pela seção 1.1.4, e o </w:t>
      </w:r>
      <w:r>
        <w:rPr>
          <w:rFonts w:ascii="Consolas" w:hAnsi="Consolas"/>
          <w:b w:val="0"/>
          <w:i w:val="0"/>
          <w:color w:val="8B1A3A"/>
          <w:sz w:val="21"/>
        </w:rPr>
        <w:t>ms-producao</w:t>
      </w:r>
      <w:r>
        <w:rPr>
          <w:b w:val="0"/>
          <w:i w:val="0"/>
          <w:sz w:val="22"/>
        </w:rPr>
        <w:t xml:space="preserve"> continua dono da safra e do ciclo produtivo, sem publicar esse evento. O </w:t>
      </w:r>
      <w:r>
        <w:rPr>
          <w:rFonts w:ascii="Consolas" w:hAnsi="Consolas"/>
          <w:b w:val="0"/>
          <w:i w:val="0"/>
          <w:color w:val="8B1A3A"/>
          <w:sz w:val="21"/>
        </w:rPr>
        <w:t>ms-estoque</w:t>
      </w:r>
      <w:r>
        <w:rPr>
          <w:b w:val="0"/>
          <w:i w:val="0"/>
          <w:sz w:val="22"/>
        </w:rPr>
        <w:t xml:space="preserve">, o </w:t>
      </w:r>
      <w:r>
        <w:rPr>
          <w:rFonts w:ascii="Consolas" w:hAnsi="Consolas"/>
          <w:b w:val="0"/>
          <w:i w:val="0"/>
          <w:color w:val="8B1A3A"/>
          <w:sz w:val="21"/>
        </w:rPr>
        <w:t>ms-catalogo</w:t>
      </w:r>
      <w:r>
        <w:rPr>
          <w:b w:val="0"/>
          <w:i w:val="0"/>
          <w:sz w:val="22"/>
        </w:rPr>
        <w:t xml:space="preserve"> e o </w:t>
      </w:r>
      <w:r>
        <w:rPr>
          <w:rFonts w:ascii="Consolas" w:hAnsi="Consolas"/>
          <w:b w:val="0"/>
          <w:i w:val="0"/>
          <w:color w:val="8B1A3A"/>
          <w:sz w:val="21"/>
        </w:rPr>
        <w:t>ms-qualidade</w:t>
      </w:r>
      <w:r>
        <w:rPr>
          <w:b w:val="0"/>
          <w:i w:val="0"/>
          <w:sz w:val="22"/>
        </w:rPr>
        <w:t xml:space="preserve"> consomem o evento para associar posição, ficha e análises ao lote novo, e o </w:t>
      </w:r>
      <w:r>
        <w:rPr>
          <w:rFonts w:ascii="Consolas" w:hAnsi="Consolas"/>
          <w:b w:val="0"/>
          <w:i w:val="0"/>
          <w:color w:val="8B1A3A"/>
          <w:sz w:val="21"/>
        </w:rPr>
        <w:t>ms-lotes</w:t>
      </w:r>
      <w:r>
        <w:rPr>
          <w:b w:val="0"/>
          <w:i w:val="0"/>
          <w:sz w:val="22"/>
        </w:rPr>
        <w:t xml:space="preserve"> gera o QR e a genealogia de forma idempotente por </w:t>
      </w:r>
      <w:r>
        <w:rPr>
          <w:rFonts w:ascii="Consolas" w:hAnsi="Consolas"/>
          <w:b w:val="0"/>
          <w:i w:val="0"/>
          <w:color w:val="8B1A3A"/>
          <w:sz w:val="21"/>
        </w:rPr>
        <w:t>loteId</w:t>
      </w:r>
      <w:r>
        <w:rPr>
          <w:b w:val="0"/>
          <w:i w:val="0"/>
          <w:sz w:val="22"/>
        </w:rPr>
        <w:t xml:space="preserve">. Quando o consumidor lê o QR, consulta </w:t>
      </w:r>
      <w:r>
        <w:rPr>
          <w:rFonts w:ascii="Consolas" w:hAnsi="Consolas"/>
          <w:b w:val="0"/>
          <w:i w:val="0"/>
          <w:color w:val="8B1A3A"/>
          <w:sz w:val="21"/>
        </w:rPr>
        <w:t>GET /v1/lotes/{loteId}/rastreio</w:t>
      </w:r>
      <w:r>
        <w:rPr>
          <w:b w:val="0"/>
          <w:i w:val="0"/>
          <w:sz w:val="22"/>
        </w:rPr>
        <w:t xml:space="preserve"> no gateway; o endpoint é público e retorna apenas os dados mínimos de origem, safra e histórico.</w:t>
      </w:r>
    </w:p>
    <w:p>
      <w:r>
        <w:rPr>
          <w:b w:val="0"/>
          <w:i w:val="0"/>
          <w:sz w:val="22"/>
        </w:rPr>
        <w:t xml:space="preserve">Separadamente, para a operação diária, o app mobile solicita </w:t>
      </w:r>
      <w:r>
        <w:rPr>
          <w:rFonts w:ascii="Consolas" w:hAnsi="Consolas"/>
          <w:b w:val="0"/>
          <w:i w:val="0"/>
          <w:color w:val="8B1A3A"/>
          <w:sz w:val="21"/>
        </w:rPr>
        <w:t>GET /v1/estoque/posicoes...</w:t>
      </w:r>
      <w:r>
        <w:rPr>
          <w:b w:val="0"/>
          <w:i w:val="0"/>
          <w:sz w:val="22"/>
        </w:rPr>
        <w:t xml:space="preserve"> ao gateway. O gateway chama o </w:t>
      </w:r>
      <w:r>
        <w:rPr>
          <w:rFonts w:ascii="Consolas" w:hAnsi="Consolas"/>
          <w:b w:val="0"/>
          <w:i w:val="0"/>
          <w:color w:val="8B1A3A"/>
          <w:sz w:val="21"/>
        </w:rPr>
        <w:t>ms-estoque</w:t>
      </w:r>
      <w:r>
        <w:rPr>
          <w:b w:val="0"/>
          <w:i w:val="0"/>
          <w:sz w:val="22"/>
        </w:rPr>
        <w:t>, que responde o saldo atual na hora. Isso é síncrono porque o usuário precisa decidir a venda ou reposição com a posição conhecida; o app pode mostrar o último saldo com aviso de desatualização apenas como degradação controlada, nunca como confirmação de reserva.</w:t>
      </w:r>
    </w:p>
    <w:p>
      <w:pPr>
        <w:pStyle w:val="Heading2"/>
      </w:pPr>
      <w:r>
        <w:rPr>
          <w:b w:val="0"/>
          <w:i w:val="0"/>
          <w:sz w:val="22"/>
        </w:rPr>
        <w:t>4.5 Conferência dos critérios de aceite</w:t>
      </w:r>
    </w:p>
    <w:p>
      <w:pPr>
        <w:keepNext/>
        <w:spacing w:after="60" w:before="0"/>
        <w:jc w:val="left"/>
      </w:pPr>
      <w:r>
        <w:rPr>
          <w:b w:val="0"/>
          <w:i/>
          <w:color w:val="595959"/>
          <w:sz w:val="19"/>
        </w:rPr>
        <w:t>Tabela 13 — Conferência dos critérios do item 4</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819"/>
            <w:shd w:val="clear" w:fill="F4E7EB"/>
          </w:tcPr>
          <w:p>
            <w:pPr>
              <w:spacing w:after="0"/>
              <w:jc w:val="left"/>
            </w:pPr>
            <w:r>
              <w:rPr>
                <w:b/>
              </w:rPr>
            </w:r>
            <w:r>
              <w:rPr>
                <w:b/>
                <w:i w:val="0"/>
                <w:sz w:val="19"/>
              </w:rPr>
              <w:t>Critério do item 4 da atividade</w:t>
            </w:r>
          </w:p>
        </w:tc>
        <w:tc>
          <w:tcPr>
            <w:tcW w:type="dxa" w:w="4819"/>
            <w:shd w:val="clear" w:fill="F4E7EB"/>
          </w:tcPr>
          <w:p>
            <w:pPr>
              <w:spacing w:after="0"/>
              <w:jc w:val="left"/>
            </w:pPr>
            <w:r>
              <w:rPr>
                <w:b/>
              </w:rPr>
            </w:r>
            <w:r>
              <w:rPr>
                <w:b/>
                <w:i w:val="0"/>
                <w:sz w:val="19"/>
              </w:rPr>
              <w:t>Situação</w:t>
            </w:r>
          </w:p>
        </w:tc>
      </w:tr>
      <w:tr>
        <w:tc>
          <w:tcPr>
            <w:tcW w:type="dxa" w:w="4819"/>
          </w:tcPr>
          <w:p>
            <w:pPr>
              <w:spacing w:after="0" w:line="240" w:lineRule="auto"/>
              <w:jc w:val="left"/>
            </w:pPr>
            <w:r/>
            <w:r>
              <w:rPr>
                <w:b w:val="0"/>
                <w:i w:val="0"/>
                <w:sz w:val="19"/>
              </w:rPr>
              <w:t>Todo par origem → destino da matriz tem tipo de comunicação explícito e justificado</w:t>
            </w:r>
          </w:p>
        </w:tc>
        <w:tc>
          <w:tcPr>
            <w:tcW w:type="dxa" w:w="4819"/>
          </w:tcPr>
          <w:p>
            <w:pPr>
              <w:spacing w:after="0" w:line="240" w:lineRule="auto"/>
              <w:jc w:val="left"/>
            </w:pPr>
            <w:r/>
            <w:r>
              <w:rPr>
                <w:b w:val="0"/>
                <w:i w:val="0"/>
                <w:sz w:val="19"/>
              </w:rPr>
              <w:t>Atendido: 22 linhas, todas com Motivo e com Tipo (síncrono REST/HTTPS ou assíncrono Kafka); a regra de decisão da seção 4.1 explica o critério de escolha</w:t>
            </w:r>
          </w:p>
        </w:tc>
      </w:tr>
      <w:tr>
        <w:tc>
          <w:tcPr>
            <w:tcW w:type="dxa" w:w="4819"/>
          </w:tcPr>
          <w:p>
            <w:pPr>
              <w:spacing w:after="0" w:line="240" w:lineRule="auto"/>
              <w:jc w:val="left"/>
            </w:pPr>
            <w:r/>
            <w:r>
              <w:rPr>
                <w:b w:val="0"/>
                <w:i w:val="0"/>
                <w:sz w:val="19"/>
              </w:rPr>
              <w:t>Nomes de tópicos idênticos aos do diagrama</w:t>
            </w:r>
          </w:p>
        </w:tc>
        <w:tc>
          <w:tcPr>
            <w:tcW w:type="dxa" w:w="4819"/>
          </w:tcPr>
          <w:p>
            <w:pPr>
              <w:spacing w:after="0" w:line="240" w:lineRule="auto"/>
              <w:jc w:val="left"/>
            </w:pPr>
            <w:r/>
            <w:r>
              <w:rPr>
                <w:b w:val="0"/>
                <w:i w:val="0"/>
                <w:sz w:val="19"/>
              </w:rPr>
              <w:t xml:space="preserve">Atendido: os 10 tópicos da seção 2, com a mesma grafia; produtores e consumidores foram conferidos linha a linha contra a página 3 do </w:t>
            </w:r>
            <w:r>
              <w:rPr>
                <w:rFonts w:ascii="Consolas" w:hAnsi="Consolas"/>
                <w:b w:val="0"/>
                <w:i w:val="0"/>
                <w:color w:val="8B1A3A"/>
                <w:sz w:val="18"/>
              </w:rPr>
              <w:t>.drawio</w:t>
            </w:r>
            <w:r>
              <w:rPr>
                <w:b w:val="0"/>
                <w:i w:val="0"/>
                <w:sz w:val="19"/>
              </w:rPr>
              <w:t xml:space="preserve"> na revisão de 01/10/2026</w:t>
            </w:r>
          </w:p>
        </w:tc>
      </w:tr>
      <w:tr>
        <w:tc>
          <w:tcPr>
            <w:tcW w:type="dxa" w:w="4819"/>
          </w:tcPr>
          <w:p>
            <w:pPr>
              <w:spacing w:after="0" w:line="240" w:lineRule="auto"/>
              <w:jc w:val="left"/>
            </w:pPr>
            <w:r/>
            <w:r>
              <w:rPr>
                <w:b w:val="0"/>
                <w:i w:val="0"/>
                <w:sz w:val="19"/>
              </w:rPr>
              <w:t>Fluxo de falha (compensação) descrito em pelo menos um fluxo</w:t>
            </w:r>
          </w:p>
        </w:tc>
        <w:tc>
          <w:tcPr>
            <w:tcW w:type="dxa" w:w="4819"/>
          </w:tcPr>
          <w:p>
            <w:pPr>
              <w:spacing w:after="0" w:line="240" w:lineRule="auto"/>
              <w:jc w:val="left"/>
            </w:pPr>
            <w:r/>
            <w:r>
              <w:rPr>
                <w:b w:val="0"/>
                <w:i w:val="0"/>
                <w:sz w:val="19"/>
              </w:rPr>
              <w:t>Atendido: item 4.1, passo 4 (</w:t>
            </w:r>
            <w:r>
              <w:rPr>
                <w:rFonts w:ascii="Consolas" w:hAnsi="Consolas"/>
                <w:b w:val="0"/>
                <w:i w:val="0"/>
                <w:color w:val="8B1A3A"/>
                <w:sz w:val="18"/>
              </w:rPr>
              <w:t>pagamento.recusado</w:t>
            </w:r>
            <w:r>
              <w:rPr>
                <w:b w:val="0"/>
                <w:i w:val="0"/>
                <w:sz w:val="19"/>
              </w:rPr>
              <w:t xml:space="preserve"> libera a Reserva e cancela o pedido), coerente com a seção 5.6.2</w:t>
            </w:r>
          </w:p>
        </w:tc>
      </w:tr>
      <w:tr>
        <w:tc>
          <w:tcPr>
            <w:tcW w:type="dxa" w:w="4819"/>
          </w:tcPr>
          <w:p>
            <w:pPr>
              <w:spacing w:after="0" w:line="240" w:lineRule="auto"/>
              <w:jc w:val="left"/>
            </w:pPr>
            <w:r/>
            <w:r>
              <w:rPr>
                <w:b w:val="0"/>
                <w:i w:val="0"/>
                <w:sz w:val="19"/>
              </w:rPr>
              <w:t>Aparece o tratamento de mensagem duplicada (idempotência) e fila morta (DLQ)</w:t>
            </w:r>
          </w:p>
        </w:tc>
        <w:tc>
          <w:tcPr>
            <w:tcW w:type="dxa" w:w="4819"/>
          </w:tcPr>
          <w:p>
            <w:pPr>
              <w:spacing w:after="0" w:line="240" w:lineRule="auto"/>
              <w:jc w:val="left"/>
            </w:pPr>
            <w:r/>
            <w:r>
              <w:rPr>
                <w:b w:val="0"/>
                <w:i w:val="0"/>
                <w:sz w:val="19"/>
              </w:rPr>
              <w:t>Atendido: item 1 (</w:t>
            </w:r>
            <w:r>
              <w:rPr>
                <w:rFonts w:ascii="Consolas" w:hAnsi="Consolas"/>
                <w:b w:val="0"/>
                <w:i w:val="0"/>
                <w:color w:val="8B1A3A"/>
                <w:sz w:val="18"/>
              </w:rPr>
              <w:t>idEvento</w:t>
            </w:r>
            <w:r>
              <w:rPr>
                <w:b w:val="0"/>
                <w:i w:val="0"/>
                <w:sz w:val="19"/>
              </w:rPr>
              <w:t xml:space="preserve">, chave de partição e </w:t>
            </w:r>
            <w:r>
              <w:rPr>
                <w:rFonts w:ascii="Consolas" w:hAnsi="Consolas"/>
                <w:b w:val="0"/>
                <w:i w:val="0"/>
                <w:color w:val="8B1A3A"/>
                <w:sz w:val="18"/>
              </w:rPr>
              <w:t>&lt;topico&gt;.DLQ</w:t>
            </w:r>
            <w:r>
              <w:rPr>
                <w:b w:val="0"/>
                <w:i w:val="0"/>
                <w:sz w:val="19"/>
              </w:rPr>
              <w:t>), coluna "Idempotente obrigatório?" da seção 4.3 e passos 4 e 5 da seção 4.4.1</w:t>
            </w:r>
          </w:p>
        </w:tc>
      </w:tr>
      <w:tr>
        <w:tc>
          <w:tcPr>
            <w:tcW w:type="dxa" w:w="4819"/>
          </w:tcPr>
          <w:p>
            <w:pPr>
              <w:spacing w:after="0" w:line="240" w:lineRule="auto"/>
              <w:jc w:val="left"/>
            </w:pPr>
            <w:r/>
            <w:r>
              <w:rPr>
                <w:b w:val="0"/>
                <w:i w:val="0"/>
                <w:sz w:val="19"/>
              </w:rPr>
              <w:t>Fluxos exigidos narrados (compra, qualidade, rastreabilidade, consulta síncrona)</w:t>
            </w:r>
          </w:p>
        </w:tc>
        <w:tc>
          <w:tcPr>
            <w:tcW w:type="dxa" w:w="4819"/>
          </w:tcPr>
          <w:p>
            <w:pPr>
              <w:spacing w:after="0" w:line="240" w:lineRule="auto"/>
              <w:jc w:val="left"/>
            </w:pPr>
            <w:r/>
            <w:r>
              <w:rPr>
                <w:b w:val="0"/>
                <w:i w:val="0"/>
                <w:sz w:val="19"/>
              </w:rPr>
              <w:t>Atendido na seção 4.4, com o caminho de erro da compra e a degradação controlada da consulta de estoque</w:t>
            </w:r>
          </w:p>
        </w:tc>
      </w:tr>
    </w:tbl>
    <w:p>
      <w:pPr>
        <w:pStyle w:val="Heading2"/>
      </w:pPr>
      <w:r>
        <w:rPr>
          <w:b w:val="0"/>
          <w:i w:val="0"/>
          <w:sz w:val="22"/>
        </w:rPr>
        <w:t>4.6 Consistência com as seções 1, 2 e 5</w:t>
      </w:r>
    </w:p>
    <w:p>
      <w:pPr>
        <w:pStyle w:val="ListBullet"/>
      </w:pPr>
      <w:r>
        <w:rPr>
          <w:b w:val="0"/>
          <w:i w:val="0"/>
          <w:sz w:val="22"/>
        </w:rPr>
        <w:t>Serviços: foram usados somente os 12 nomes congelados no glossário da seção 1.</w:t>
      </w:r>
    </w:p>
    <w:p>
      <w:pPr>
        <w:pStyle w:val="ListBullet"/>
      </w:pPr>
      <w:r>
        <w:rPr>
          <w:b w:val="0"/>
          <w:i w:val="0"/>
          <w:sz w:val="22"/>
        </w:rPr>
        <w:t xml:space="preserve">Tópicos: aparecem os 10 tópicos da seção 2: </w:t>
      </w:r>
      <w:r>
        <w:rPr>
          <w:rFonts w:ascii="Consolas" w:hAnsi="Consolas"/>
          <w:b w:val="0"/>
          <w:i w:val="0"/>
          <w:color w:val="8B1A3A"/>
          <w:sz w:val="21"/>
        </w:rPr>
        <w:t>pedido.criado</w:t>
      </w:r>
      <w:r>
        <w:rPr>
          <w:b w:val="0"/>
          <w:i w:val="0"/>
          <w:sz w:val="22"/>
        </w:rPr>
        <w:t xml:space="preserve">, </w:t>
      </w:r>
      <w:r>
        <w:rPr>
          <w:rFonts w:ascii="Consolas" w:hAnsi="Consolas"/>
          <w:b w:val="0"/>
          <w:i w:val="0"/>
          <w:color w:val="8B1A3A"/>
          <w:sz w:val="21"/>
        </w:rPr>
        <w:t>estoque.reservado</w:t>
      </w:r>
      <w:r>
        <w:rPr>
          <w:b w:val="0"/>
          <w:i w:val="0"/>
          <w:sz w:val="22"/>
        </w:rPr>
        <w:t xml:space="preserve">, </w:t>
      </w:r>
      <w:r>
        <w:rPr>
          <w:rFonts w:ascii="Consolas" w:hAnsi="Consolas"/>
          <w:b w:val="0"/>
          <w:i w:val="0"/>
          <w:color w:val="8B1A3A"/>
          <w:sz w:val="21"/>
        </w:rPr>
        <w:t>pagamento.aprovado</w:t>
      </w:r>
      <w:r>
        <w:rPr>
          <w:b w:val="0"/>
          <w:i w:val="0"/>
          <w:sz w:val="22"/>
        </w:rPr>
        <w:t xml:space="preserve">, </w:t>
      </w:r>
      <w:r>
        <w:rPr>
          <w:rFonts w:ascii="Consolas" w:hAnsi="Consolas"/>
          <w:b w:val="0"/>
          <w:i w:val="0"/>
          <w:color w:val="8B1A3A"/>
          <w:sz w:val="21"/>
        </w:rPr>
        <w:t>pagamento.recusado</w:t>
      </w:r>
      <w:r>
        <w:rPr>
          <w:b w:val="0"/>
          <w:i w:val="0"/>
          <w:sz w:val="22"/>
        </w:rPr>
        <w:t xml:space="preserve">, </w:t>
      </w:r>
      <w:r>
        <w:rPr>
          <w:rFonts w:ascii="Consolas" w:hAnsi="Consolas"/>
          <w:b w:val="0"/>
          <w:i w:val="0"/>
          <w:color w:val="8B1A3A"/>
          <w:sz w:val="21"/>
        </w:rPr>
        <w:t>lote.criado</w:t>
      </w:r>
      <w:r>
        <w:rPr>
          <w:b w:val="0"/>
          <w:i w:val="0"/>
          <w:sz w:val="22"/>
        </w:rPr>
        <w:t xml:space="preserve">, </w:t>
      </w:r>
      <w:r>
        <w:rPr>
          <w:rFonts w:ascii="Consolas" w:hAnsi="Consolas"/>
          <w:b w:val="0"/>
          <w:i w:val="0"/>
          <w:color w:val="8B1A3A"/>
          <w:sz w:val="21"/>
        </w:rPr>
        <w:t>recebimento.confirmado</w:t>
      </w:r>
      <w:r>
        <w:rPr>
          <w:b w:val="0"/>
          <w:i w:val="0"/>
          <w:sz w:val="22"/>
        </w:rPr>
        <w:t xml:space="preserve">, </w:t>
      </w:r>
      <w:r>
        <w:rPr>
          <w:rFonts w:ascii="Consolas" w:hAnsi="Consolas"/>
          <w:b w:val="0"/>
          <w:i w:val="0"/>
          <w:color w:val="8B1A3A"/>
          <w:sz w:val="21"/>
        </w:rPr>
        <w:t>qualidade.leitura</w:t>
      </w:r>
      <w:r>
        <w:rPr>
          <w:b w:val="0"/>
          <w:i w:val="0"/>
          <w:sz w:val="22"/>
        </w:rPr>
        <w:t xml:space="preserve">, </w:t>
      </w:r>
      <w:r>
        <w:rPr>
          <w:rFonts w:ascii="Consolas" w:hAnsi="Consolas"/>
          <w:b w:val="0"/>
          <w:i w:val="0"/>
          <w:color w:val="8B1A3A"/>
          <w:sz w:val="21"/>
        </w:rPr>
        <w:t>qualidade.alerta</w:t>
      </w:r>
      <w:r>
        <w:rPr>
          <w:b w:val="0"/>
          <w:i w:val="0"/>
          <w:sz w:val="22"/>
        </w:rPr>
        <w:t xml:space="preserve">, </w:t>
      </w:r>
      <w:r>
        <w:rPr>
          <w:rFonts w:ascii="Consolas" w:hAnsi="Consolas"/>
          <w:b w:val="0"/>
          <w:i w:val="0"/>
          <w:color w:val="8B1A3A"/>
          <w:sz w:val="21"/>
        </w:rPr>
        <w:t>notificacao.enviar</w:t>
      </w:r>
      <w:r>
        <w:rPr>
          <w:b w:val="0"/>
          <w:i w:val="0"/>
          <w:sz w:val="22"/>
        </w:rPr>
        <w:t xml:space="preserve"> e </w:t>
      </w:r>
      <w:r>
        <w:rPr>
          <w:rFonts w:ascii="Consolas" w:hAnsi="Consolas"/>
          <w:b w:val="0"/>
          <w:i w:val="0"/>
          <w:color w:val="8B1A3A"/>
          <w:sz w:val="21"/>
        </w:rPr>
        <w:t>cliente.anonimizado</w:t>
      </w:r>
      <w:r>
        <w:rPr>
          <w:b w:val="0"/>
          <w:i w:val="0"/>
          <w:sz w:val="22"/>
        </w:rPr>
        <w:t xml:space="preserve">. Os consumidores de </w:t>
      </w:r>
      <w:r>
        <w:rPr>
          <w:rFonts w:ascii="Consolas" w:hAnsi="Consolas"/>
          <w:b w:val="0"/>
          <w:i w:val="0"/>
          <w:color w:val="8B1A3A"/>
          <w:sz w:val="21"/>
        </w:rPr>
        <w:t>pedido.criado</w:t>
      </w:r>
      <w:r>
        <w:rPr>
          <w:b w:val="0"/>
          <w:i w:val="0"/>
          <w:sz w:val="22"/>
        </w:rPr>
        <w:t xml:space="preserve"> e </w:t>
      </w:r>
      <w:r>
        <w:rPr>
          <w:rFonts w:ascii="Consolas" w:hAnsi="Consolas"/>
          <w:b w:val="0"/>
          <w:i w:val="0"/>
          <w:color w:val="8B1A3A"/>
          <w:sz w:val="21"/>
        </w:rPr>
        <w:t>notificacao.enviar</w:t>
      </w:r>
      <w:r>
        <w:rPr>
          <w:b w:val="0"/>
          <w:i w:val="0"/>
          <w:sz w:val="22"/>
        </w:rPr>
        <w:t xml:space="preserve"> também incluem </w:t>
      </w:r>
      <w:r>
        <w:rPr>
          <w:rFonts w:ascii="Consolas" w:hAnsi="Consolas"/>
          <w:b w:val="0"/>
          <w:i w:val="0"/>
          <w:color w:val="8B1A3A"/>
          <w:sz w:val="21"/>
        </w:rPr>
        <w:t>ms-clientes</w:t>
      </w:r>
      <w:r>
        <w:rPr>
          <w:b w:val="0"/>
          <w:i w:val="0"/>
          <w:sz w:val="22"/>
        </w:rPr>
        <w:t>/</w:t>
      </w:r>
      <w:r>
        <w:rPr>
          <w:rFonts w:ascii="Consolas" w:hAnsi="Consolas"/>
          <w:b w:val="0"/>
          <w:i w:val="0"/>
          <w:color w:val="8B1A3A"/>
          <w:sz w:val="21"/>
        </w:rPr>
        <w:t>ms-analytics</w:t>
      </w:r>
      <w:r>
        <w:rPr>
          <w:b w:val="0"/>
          <w:i w:val="0"/>
          <w:sz w:val="22"/>
        </w:rPr>
        <w:t xml:space="preserve">, conforme a seção 2. o </w:t>
      </w:r>
      <w:r>
        <w:rPr>
          <w:rFonts w:ascii="Consolas" w:hAnsi="Consolas"/>
          <w:b w:val="0"/>
          <w:i w:val="0"/>
          <w:color w:val="8B1A3A"/>
          <w:sz w:val="21"/>
        </w:rPr>
        <w:t>recebimento.confirmado</w:t>
      </w:r>
      <w:r>
        <w:rPr>
          <w:b w:val="0"/>
          <w:i w:val="0"/>
          <w:sz w:val="22"/>
        </w:rPr>
        <w:t xml:space="preserve"> aparece com o mesmo nome no diagrama da seção 2 (onde o asterisco indica apenas que o tópico foi introduzido nesta fase) e neste catálogo.</w:t>
      </w:r>
    </w:p>
    <w:p>
      <w:pPr>
        <w:pStyle w:val="ListBullet"/>
      </w:pPr>
      <w:r>
        <w:rPr>
          <w:b/>
          <w:i w:val="0"/>
          <w:sz w:val="22"/>
        </w:rPr>
        <w:t>Checagem de consistência de 01/10/2026:</w:t>
      </w:r>
      <w:r>
        <w:rPr>
          <w:b w:val="0"/>
          <w:i w:val="0"/>
          <w:sz w:val="22"/>
        </w:rPr>
        <w:t xml:space="preserve"> </w:t>
      </w:r>
      <w:r>
        <w:rPr>
          <w:rFonts w:ascii="Consolas" w:hAnsi="Consolas"/>
          <w:b w:val="0"/>
          <w:i w:val="0"/>
          <w:color w:val="8B1A3A"/>
          <w:sz w:val="21"/>
        </w:rPr>
        <w:t>lote.criado</w:t>
      </w:r>
      <w:r>
        <w:rPr>
          <w:b w:val="0"/>
          <w:i w:val="0"/>
          <w:sz w:val="22"/>
        </w:rPr>
        <w:t xml:space="preserve"> passou a ter produtor </w:t>
      </w:r>
      <w:r>
        <w:rPr>
          <w:rFonts w:ascii="Consolas" w:hAnsi="Consolas"/>
          <w:b w:val="0"/>
          <w:i w:val="0"/>
          <w:color w:val="8B1A3A"/>
          <w:sz w:val="21"/>
        </w:rPr>
        <w:t>ms-lotes</w:t>
      </w:r>
      <w:r>
        <w:rPr>
          <w:b w:val="0"/>
          <w:i w:val="0"/>
          <w:sz w:val="22"/>
        </w:rPr>
        <w:t xml:space="preserve"> e consumidores </w:t>
      </w:r>
      <w:r>
        <w:rPr>
          <w:rFonts w:ascii="Consolas" w:hAnsi="Consolas"/>
          <w:b w:val="0"/>
          <w:i w:val="0"/>
          <w:color w:val="8B1A3A"/>
          <w:sz w:val="21"/>
        </w:rPr>
        <w:t>ms-estoque</w:t>
      </w:r>
      <w:r>
        <w:rPr>
          <w:b w:val="0"/>
          <w:i w:val="0"/>
          <w:sz w:val="22"/>
        </w:rPr>
        <w:t xml:space="preserve">, </w:t>
      </w:r>
      <w:r>
        <w:rPr>
          <w:rFonts w:ascii="Consolas" w:hAnsi="Consolas"/>
          <w:b w:val="0"/>
          <w:i w:val="0"/>
          <w:color w:val="8B1A3A"/>
          <w:sz w:val="21"/>
        </w:rPr>
        <w:t>ms-catalogo</w:t>
      </w:r>
      <w:r>
        <w:rPr>
          <w:b w:val="0"/>
          <w:i w:val="0"/>
          <w:sz w:val="22"/>
        </w:rPr>
        <w:t xml:space="preserve">, </w:t>
      </w:r>
      <w:r>
        <w:rPr>
          <w:rFonts w:ascii="Consolas" w:hAnsi="Consolas"/>
          <w:b w:val="0"/>
          <w:i w:val="0"/>
          <w:color w:val="8B1A3A"/>
          <w:sz w:val="21"/>
        </w:rPr>
        <w:t>ms-qualidade</w:t>
      </w:r>
      <w:r>
        <w:rPr>
          <w:b w:val="0"/>
          <w:i w:val="0"/>
          <w:sz w:val="22"/>
        </w:rPr>
        <w:t xml:space="preserve"> e </w:t>
      </w:r>
      <w:r>
        <w:rPr>
          <w:rFonts w:ascii="Consolas" w:hAnsi="Consolas"/>
          <w:b w:val="0"/>
          <w:i w:val="0"/>
          <w:color w:val="8B1A3A"/>
          <w:sz w:val="21"/>
        </w:rPr>
        <w:t>ms-analytics</w:t>
      </w:r>
      <w:r>
        <w:rPr>
          <w:b w:val="0"/>
          <w:i w:val="0"/>
          <w:sz w:val="22"/>
        </w:rPr>
        <w:t xml:space="preserve">; </w:t>
      </w:r>
      <w:r>
        <w:rPr>
          <w:rFonts w:ascii="Consolas" w:hAnsi="Consolas"/>
          <w:b w:val="0"/>
          <w:i w:val="0"/>
          <w:color w:val="8B1A3A"/>
          <w:sz w:val="21"/>
        </w:rPr>
        <w:t>cliente.anonimizado</w:t>
      </w:r>
      <w:r>
        <w:rPr>
          <w:b w:val="0"/>
          <w:i w:val="0"/>
          <w:sz w:val="22"/>
        </w:rPr>
        <w:t xml:space="preserve"> recuperou </w:t>
      </w:r>
      <w:r>
        <w:rPr>
          <w:rFonts w:ascii="Consolas" w:hAnsi="Consolas"/>
          <w:b w:val="0"/>
          <w:i w:val="0"/>
          <w:color w:val="8B1A3A"/>
          <w:sz w:val="21"/>
        </w:rPr>
        <w:t>ms-pedidos</w:t>
      </w:r>
      <w:r>
        <w:rPr>
          <w:b w:val="0"/>
          <w:i w:val="0"/>
          <w:sz w:val="22"/>
        </w:rPr>
        <w:t xml:space="preserve"> entre os consumidores. As duas linhas agora são idênticas às da tabela da seção 2, que é a fonte do desenho.</w:t>
      </w:r>
    </w:p>
    <w:p>
      <w:pPr>
        <w:pStyle w:val="ListBullet"/>
      </w:pPr>
      <w:r>
        <w:rPr>
          <w:b/>
          <w:i w:val="0"/>
          <w:sz w:val="22"/>
        </w:rPr>
        <w:t>Chamadas síncronas internas:</w:t>
      </w:r>
      <w:r>
        <w:rPr>
          <w:b w:val="0"/>
          <w:i w:val="0"/>
          <w:sz w:val="22"/>
        </w:rPr>
        <w:t xml:space="preserve"> a matriz lista três relações que a seção 2 ainda não desenha (</w:t>
      </w:r>
      <w:r>
        <w:rPr>
          <w:rFonts w:ascii="Consolas" w:hAnsi="Consolas"/>
          <w:b w:val="0"/>
          <w:i w:val="0"/>
          <w:color w:val="8B1A3A"/>
          <w:sz w:val="21"/>
        </w:rPr>
        <w:t>ms-pedidos</w:t>
      </w:r>
      <w:r>
        <w:rPr>
          <w:b w:val="0"/>
          <w:i w:val="0"/>
          <w:sz w:val="22"/>
        </w:rPr>
        <w:t xml:space="preserve"> → </w:t>
      </w:r>
      <w:r>
        <w:rPr>
          <w:rFonts w:ascii="Consolas" w:hAnsi="Consolas"/>
          <w:b w:val="0"/>
          <w:i w:val="0"/>
          <w:color w:val="8B1A3A"/>
          <w:sz w:val="21"/>
        </w:rPr>
        <w:t>ms-catalogo</w:t>
      </w:r>
      <w:r>
        <w:rPr>
          <w:b w:val="0"/>
          <w:i w:val="0"/>
          <w:sz w:val="22"/>
        </w:rPr>
        <w:t xml:space="preserve">, </w:t>
      </w:r>
      <w:r>
        <w:rPr>
          <w:rFonts w:ascii="Consolas" w:hAnsi="Consolas"/>
          <w:b w:val="0"/>
          <w:i w:val="0"/>
          <w:color w:val="8B1A3A"/>
          <w:sz w:val="21"/>
        </w:rPr>
        <w:t>ms-pedidos</w:t>
      </w:r>
      <w:r>
        <w:rPr>
          <w:b w:val="0"/>
          <w:i w:val="0"/>
          <w:sz w:val="22"/>
        </w:rPr>
        <w:t xml:space="preserve"> → </w:t>
      </w:r>
      <w:r>
        <w:rPr>
          <w:rFonts w:ascii="Consolas" w:hAnsi="Consolas"/>
          <w:b w:val="0"/>
          <w:i w:val="0"/>
          <w:color w:val="8B1A3A"/>
          <w:sz w:val="21"/>
        </w:rPr>
        <w:t>ms-clientes</w:t>
      </w:r>
      <w:r>
        <w:rPr>
          <w:b w:val="0"/>
          <w:i w:val="0"/>
          <w:sz w:val="22"/>
        </w:rPr>
        <w:t xml:space="preserve"> e </w:t>
      </w:r>
      <w:r>
        <w:rPr>
          <w:rFonts w:ascii="Consolas" w:hAnsi="Consolas"/>
          <w:b w:val="0"/>
          <w:i w:val="0"/>
          <w:color w:val="8B1A3A"/>
          <w:sz w:val="21"/>
        </w:rPr>
        <w:t>ms-pagamentos</w:t>
      </w:r>
      <w:r>
        <w:rPr>
          <w:b w:val="0"/>
          <w:i w:val="0"/>
          <w:sz w:val="22"/>
        </w:rPr>
        <w:t xml:space="preserve"> → </w:t>
      </w:r>
      <w:r>
        <w:rPr>
          <w:rFonts w:ascii="Consolas" w:hAnsi="Consolas"/>
          <w:b w:val="0"/>
          <w:i w:val="0"/>
          <w:color w:val="8B1A3A"/>
          <w:sz w:val="21"/>
        </w:rPr>
        <w:t>ms-pedidos</w:t>
      </w:r>
      <w:r>
        <w:rPr>
          <w:b w:val="0"/>
          <w:i w:val="0"/>
          <w:sz w:val="22"/>
        </w:rPr>
        <w:t>), e a seção 2 desenha uma que a matriz não tinha (</w:t>
      </w:r>
      <w:r>
        <w:rPr>
          <w:rFonts w:ascii="Consolas" w:hAnsi="Consolas"/>
          <w:b w:val="0"/>
          <w:i w:val="0"/>
          <w:color w:val="8B1A3A"/>
          <w:sz w:val="21"/>
        </w:rPr>
        <w:t>ms-pedidos</w:t>
      </w:r>
      <w:r>
        <w:rPr>
          <w:b w:val="0"/>
          <w:i w:val="0"/>
          <w:sz w:val="22"/>
        </w:rPr>
        <w:t xml:space="preserve"> → </w:t>
      </w:r>
      <w:r>
        <w:rPr>
          <w:rFonts w:ascii="Consolas" w:hAnsi="Consolas"/>
          <w:b w:val="0"/>
          <w:i w:val="0"/>
          <w:color w:val="8B1A3A"/>
          <w:sz w:val="21"/>
        </w:rPr>
        <w:t>ms-estoque</w:t>
      </w:r>
      <w:r>
        <w:rPr>
          <w:b w:val="0"/>
          <w:i w:val="0"/>
          <w:sz w:val="22"/>
        </w:rPr>
        <w:t xml:space="preserve">, "saldo, timeout 3 s") — agora incluída. As três primeiras são chamadas da malha com mTLS e prazo da seção 5.6.1; as três foram desenhadas na página 1 da seção 2 em 01/10/2026, junto da linha </w:t>
      </w:r>
      <w:r>
        <w:rPr>
          <w:rFonts w:ascii="Consolas" w:hAnsi="Consolas"/>
          <w:b w:val="0"/>
          <w:i w:val="0"/>
          <w:color w:val="8B1A3A"/>
          <w:sz w:val="21"/>
        </w:rPr>
        <w:t>ms-pedidos</w:t>
      </w:r>
      <w:r>
        <w:rPr>
          <w:b w:val="0"/>
          <w:i w:val="0"/>
          <w:sz w:val="22"/>
        </w:rPr>
        <w:t xml:space="preserve"> → </w:t>
      </w:r>
      <w:r>
        <w:rPr>
          <w:rFonts w:ascii="Consolas" w:hAnsi="Consolas"/>
          <w:b w:val="0"/>
          <w:i w:val="0"/>
          <w:color w:val="8B1A3A"/>
          <w:sz w:val="21"/>
        </w:rPr>
        <w:t>ms-estoque</w:t>
      </w:r>
      <w:r>
        <w:rPr>
          <w:b w:val="0"/>
          <w:i w:val="0"/>
          <w:sz w:val="22"/>
        </w:rPr>
        <w:t xml:space="preserve"> que já existia.</w:t>
      </w:r>
    </w:p>
    <w:p>
      <w:pPr>
        <w:pStyle w:val="ListBullet"/>
      </w:pPr>
      <w:r>
        <w:rPr>
          <w:b w:val="0"/>
          <w:i w:val="0"/>
          <w:sz w:val="22"/>
        </w:rPr>
        <w:t xml:space="preserve">Resiliência: timeout, Circuit Breaker, retry restrito a operações idempotentes, DLQ, idempotência por </w:t>
      </w:r>
      <w:r>
        <w:rPr>
          <w:rFonts w:ascii="Consolas" w:hAnsi="Consolas"/>
          <w:b w:val="0"/>
          <w:i w:val="0"/>
          <w:color w:val="8B1A3A"/>
          <w:sz w:val="21"/>
        </w:rPr>
        <w:t>idEvento</w:t>
      </w:r>
      <w:r>
        <w:rPr>
          <w:b w:val="0"/>
          <w:i w:val="0"/>
          <w:sz w:val="22"/>
        </w:rPr>
        <w:t xml:space="preserve"> e monitoramento de lag seguem os parâmetros da seção 5.6.</w:t>
      </w:r>
    </w:p>
    <w:p>
      <w:pPr>
        <w:pStyle w:val="ListBullet"/>
      </w:pPr>
      <w:r>
        <w:rPr>
          <w:b w:val="0"/>
          <w:i w:val="0"/>
          <w:sz w:val="22"/>
        </w:rPr>
        <w:t>Segurança: clientes entram pelo gateway; chamadas internas usam mTLS; nenhum serviço acessa diretamente o banco de outro serviço.</w:t>
      </w:r>
    </w:p>
    <w:p>
      <w:pPr>
        <w:sectPr>
          <w:pgSz w:w="11906" w:h="16838"/>
          <w:pgMar w:top="1134" w:right="1134" w:bottom="1134" w:left="1417" w:header="720" w:footer="720" w:gutter="0"/>
          <w:cols w:space="720"/>
          <w:docGrid w:linePitch="360"/>
        </w:sectPr>
      </w:pPr>
    </w:p>
    <w:p>
      <w:pPr>
        <w:pStyle w:val="Heading1"/>
      </w:pPr>
      <w:r>
        <w:rPr>
          <w:b w:val="0"/>
          <w:i w:val="0"/>
          <w:sz w:val="22"/>
        </w:rPr>
        <w:t>5. Segurança, Escalabilidade, Resiliência e Governança</w:t>
      </w:r>
    </w:p>
    <w:p>
      <w:r>
        <w:rPr>
          <w:b w:val="0"/>
          <w:i/>
          <w:color w:val="595959"/>
          <w:sz w:val="19"/>
        </w:rPr>
        <w:t>Responsável: Yasmin Kimura — RM 557413 · Período: 16/09/2026 a 24/09/2026 · Versão 1.0</w:t>
      </w:r>
    </w:p>
    <w:p>
      <w:pPr>
        <w:pStyle w:val="Heading2"/>
      </w:pPr>
      <w:r>
        <w:rPr>
          <w:b w:val="0"/>
          <w:i w:val="0"/>
          <w:sz w:val="22"/>
        </w:rPr>
        <w:t>5.1 Escopo e ligação com as demais partes</w:t>
      </w:r>
    </w:p>
    <w:p>
      <w:r>
        <w:rPr>
          <w:b w:val="0"/>
          <w:i w:val="0"/>
          <w:sz w:val="22"/>
        </w:rPr>
        <w:t xml:space="preserve">Esta seção responde à segunda metade da atividade da Fase 6: </w:t>
      </w:r>
      <w:r>
        <w:rPr>
          <w:b/>
          <w:i w:val="0"/>
          <w:sz w:val="22"/>
        </w:rPr>
        <w:t>segurança e governança da arquitetura de microsserviços</w:t>
      </w:r>
      <w:r>
        <w:rPr>
          <w:b w:val="0"/>
          <w:i w:val="0"/>
          <w:sz w:val="22"/>
        </w:rPr>
        <w:t xml:space="preserve"> — autenticação, autorização, comunicação segura entre serviços, boas práticas de API, gestão de segredos, LGPD, escalabilidade, resiliência, observabilidade e governança de contratos.</w:t>
      </w:r>
    </w:p>
    <w:p>
      <w:r>
        <w:rPr>
          <w:b w:val="0"/>
          <w:i w:val="0"/>
          <w:sz w:val="22"/>
        </w:rPr>
        <w:t>Ela não redefine o que já é definido em outras partes. Para não haver divergência de texto (fonte clássica de perda de nota em trabalho em grupo), fica fixada a divisão:</w:t>
      </w:r>
    </w:p>
    <w:p>
      <w:pPr>
        <w:keepNext/>
        <w:spacing w:after="60" w:before="0"/>
        <w:jc w:val="left"/>
      </w:pPr>
      <w:r>
        <w:rPr>
          <w:b w:val="0"/>
          <w:i/>
          <w:color w:val="595959"/>
          <w:sz w:val="19"/>
        </w:rPr>
        <w:t>Tabela 14 — Abrangência desta seção e fronteira com as demais</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402"/>
            <w:shd w:val="clear" w:fill="F4E7EB"/>
          </w:tcPr>
          <w:p>
            <w:pPr>
              <w:spacing w:after="0"/>
              <w:jc w:val="left"/>
            </w:pPr>
            <w:r>
              <w:rPr>
                <w:b/>
              </w:rPr>
            </w:r>
            <w:r>
              <w:rPr>
                <w:b/>
                <w:i w:val="0"/>
                <w:sz w:val="19"/>
              </w:rPr>
              <w:t>Assunto</w:t>
            </w:r>
          </w:p>
        </w:tc>
        <w:tc>
          <w:tcPr>
            <w:tcW w:type="dxa" w:w="2268"/>
            <w:shd w:val="clear" w:fill="F4E7EB"/>
          </w:tcPr>
          <w:p>
            <w:pPr>
              <w:spacing w:after="0"/>
              <w:jc w:val="left"/>
            </w:pPr>
            <w:r>
              <w:rPr>
                <w:b/>
              </w:rPr>
            </w:r>
            <w:r>
              <w:rPr>
                <w:b/>
                <w:i w:val="0"/>
                <w:sz w:val="19"/>
              </w:rPr>
              <w:t>Onde é tratado</w:t>
            </w:r>
          </w:p>
        </w:tc>
        <w:tc>
          <w:tcPr>
            <w:tcW w:type="dxa" w:w="3969"/>
            <w:shd w:val="clear" w:fill="F4E7EB"/>
          </w:tcPr>
          <w:p>
            <w:pPr>
              <w:spacing w:after="0"/>
              <w:jc w:val="left"/>
            </w:pPr>
            <w:r>
              <w:rPr>
                <w:b/>
              </w:rPr>
            </w:r>
            <w:r>
              <w:rPr>
                <w:b/>
                <w:i w:val="0"/>
                <w:sz w:val="19"/>
              </w:rPr>
              <w:t>Papel desta seção</w:t>
            </w:r>
          </w:p>
        </w:tc>
      </w:tr>
      <w:tr>
        <w:tc>
          <w:tcPr>
            <w:tcW w:type="dxa" w:w="3402"/>
          </w:tcPr>
          <w:p>
            <w:pPr>
              <w:spacing w:after="0" w:line="240" w:lineRule="auto"/>
              <w:jc w:val="left"/>
            </w:pPr>
            <w:r/>
            <w:r>
              <w:rPr>
                <w:b w:val="0"/>
                <w:i w:val="0"/>
                <w:sz w:val="19"/>
              </w:rPr>
              <w:t>Quais serviços existem, responsabilidade e dono do dado</w:t>
            </w:r>
          </w:p>
        </w:tc>
        <w:tc>
          <w:tcPr>
            <w:tcW w:type="dxa" w:w="2268"/>
          </w:tcPr>
          <w:p>
            <w:pPr>
              <w:spacing w:after="0" w:line="240" w:lineRule="auto"/>
              <w:jc w:val="left"/>
            </w:pPr>
            <w:r/>
            <w:r>
              <w:rPr>
                <w:b w:val="0"/>
                <w:i w:val="0"/>
                <w:sz w:val="19"/>
              </w:rPr>
              <w:t>Seção 1 (seção 1)</w:t>
            </w:r>
          </w:p>
        </w:tc>
        <w:tc>
          <w:tcPr>
            <w:tcW w:type="dxa" w:w="3969"/>
          </w:tcPr>
          <w:p>
            <w:pPr>
              <w:spacing w:after="0" w:line="240" w:lineRule="auto"/>
              <w:jc w:val="left"/>
            </w:pPr>
            <w:r/>
            <w:r>
              <w:rPr>
                <w:b w:val="0"/>
                <w:i w:val="0"/>
                <w:sz w:val="19"/>
              </w:rPr>
              <w:t xml:space="preserve">Consome os nomes </w:t>
            </w:r>
            <w:r>
              <w:rPr>
                <w:rFonts w:ascii="Consolas" w:hAnsi="Consolas"/>
                <w:b w:val="0"/>
                <w:i w:val="0"/>
                <w:color w:val="8B1A3A"/>
                <w:sz w:val="18"/>
              </w:rPr>
              <w:t>ms-*</w:t>
            </w:r>
            <w:r>
              <w:rPr>
                <w:b w:val="0"/>
                <w:i w:val="0"/>
                <w:sz w:val="19"/>
              </w:rPr>
              <w:t xml:space="preserve"> sem alterá-los</w:t>
            </w:r>
          </w:p>
        </w:tc>
      </w:tr>
      <w:tr>
        <w:tc>
          <w:tcPr>
            <w:tcW w:type="dxa" w:w="3402"/>
          </w:tcPr>
          <w:p>
            <w:pPr>
              <w:spacing w:after="0" w:line="240" w:lineRule="auto"/>
              <w:jc w:val="left"/>
            </w:pPr>
            <w:r/>
            <w:r>
              <w:rPr>
                <w:b w:val="0"/>
                <w:i w:val="0"/>
                <w:sz w:val="19"/>
              </w:rPr>
              <w:t>Desenho da arquitetura, gateway, bancos, mensageria</w:t>
            </w:r>
          </w:p>
        </w:tc>
        <w:tc>
          <w:tcPr>
            <w:tcW w:type="dxa" w:w="2268"/>
          </w:tcPr>
          <w:p>
            <w:pPr>
              <w:spacing w:after="0" w:line="240" w:lineRule="auto"/>
              <w:jc w:val="left"/>
            </w:pPr>
            <w:r/>
            <w:r>
              <w:rPr>
                <w:b w:val="0"/>
                <w:i w:val="0"/>
                <w:sz w:val="19"/>
              </w:rPr>
              <w:t>Seção 2 (seção 2)</w:t>
            </w:r>
          </w:p>
        </w:tc>
        <w:tc>
          <w:tcPr>
            <w:tcW w:type="dxa" w:w="3969"/>
          </w:tcPr>
          <w:p>
            <w:pPr>
              <w:spacing w:after="0" w:line="240" w:lineRule="auto"/>
              <w:jc w:val="left"/>
            </w:pPr>
            <w:r/>
            <w:r>
              <w:rPr>
                <w:b w:val="0"/>
                <w:i w:val="0"/>
                <w:sz w:val="19"/>
              </w:rPr>
              <w:t>Consome o desenho; não redesenha</w:t>
            </w:r>
          </w:p>
        </w:tc>
      </w:tr>
      <w:tr>
        <w:tc>
          <w:tcPr>
            <w:tcW w:type="dxa" w:w="3402"/>
          </w:tcPr>
          <w:p>
            <w:pPr>
              <w:spacing w:after="0" w:line="240" w:lineRule="auto"/>
              <w:jc w:val="left"/>
            </w:pPr>
            <w:r/>
            <w:r>
              <w:rPr>
                <w:b w:val="0"/>
                <w:i w:val="0"/>
                <w:sz w:val="19"/>
              </w:rPr>
              <w:t>Padrões justificados (Saga, Database per Service etc.)</w:t>
            </w:r>
          </w:p>
        </w:tc>
        <w:tc>
          <w:tcPr>
            <w:tcW w:type="dxa" w:w="2268"/>
          </w:tcPr>
          <w:p>
            <w:pPr>
              <w:spacing w:after="0" w:line="240" w:lineRule="auto"/>
              <w:jc w:val="left"/>
            </w:pPr>
            <w:r/>
            <w:r>
              <w:rPr>
                <w:b w:val="0"/>
                <w:i w:val="0"/>
                <w:sz w:val="19"/>
              </w:rPr>
              <w:t>Seção 3 (seção 3)</w:t>
            </w:r>
          </w:p>
        </w:tc>
        <w:tc>
          <w:tcPr>
            <w:tcW w:type="dxa" w:w="3969"/>
          </w:tcPr>
          <w:p>
            <w:pPr>
              <w:spacing w:after="0" w:line="240" w:lineRule="auto"/>
              <w:jc w:val="left"/>
            </w:pPr>
            <w:r/>
            <w:r>
              <w:rPr>
                <w:b w:val="0"/>
                <w:i w:val="0"/>
                <w:sz w:val="19"/>
              </w:rPr>
              <w:t>Cita o padrão; o "porquê" fica na seção 3</w:t>
            </w:r>
          </w:p>
        </w:tc>
      </w:tr>
      <w:tr>
        <w:tc>
          <w:tcPr>
            <w:tcW w:type="dxa" w:w="3402"/>
          </w:tcPr>
          <w:p>
            <w:pPr>
              <w:spacing w:after="0" w:line="240" w:lineRule="auto"/>
              <w:jc w:val="left"/>
            </w:pPr>
            <w:r/>
            <w:r>
              <w:rPr>
                <w:b w:val="0"/>
                <w:i w:val="0"/>
                <w:sz w:val="19"/>
              </w:rPr>
              <w:t>Quem fala com quem, síncrono x assíncrono, tópicos</w:t>
            </w:r>
          </w:p>
        </w:tc>
        <w:tc>
          <w:tcPr>
            <w:tcW w:type="dxa" w:w="2268"/>
          </w:tcPr>
          <w:p>
            <w:pPr>
              <w:spacing w:after="0" w:line="240" w:lineRule="auto"/>
              <w:jc w:val="left"/>
            </w:pPr>
            <w:r/>
            <w:r>
              <w:rPr>
                <w:b w:val="0"/>
                <w:i w:val="0"/>
                <w:sz w:val="19"/>
              </w:rPr>
              <w:t>Seção 4 (seção 4)</w:t>
            </w:r>
          </w:p>
        </w:tc>
        <w:tc>
          <w:tcPr>
            <w:tcW w:type="dxa" w:w="3969"/>
          </w:tcPr>
          <w:p>
            <w:pPr>
              <w:spacing w:after="0" w:line="240" w:lineRule="auto"/>
              <w:jc w:val="left"/>
            </w:pPr>
            <w:r/>
            <w:r>
              <w:rPr>
                <w:b w:val="0"/>
                <w:i w:val="0"/>
                <w:sz w:val="19"/>
              </w:rPr>
              <w:t>Usa exatamente os mesmos nomes de tópicos</w:t>
            </w:r>
          </w:p>
        </w:tc>
      </w:tr>
      <w:tr>
        <w:tc>
          <w:tcPr>
            <w:tcW w:type="dxa" w:w="3402"/>
          </w:tcPr>
          <w:p>
            <w:pPr>
              <w:spacing w:after="0" w:line="240" w:lineRule="auto"/>
              <w:jc w:val="left"/>
            </w:pPr>
            <w:r/>
            <w:r>
              <w:rPr>
                <w:b/>
                <w:i w:val="0"/>
                <w:sz w:val="19"/>
              </w:rPr>
              <w:t>Segurança, governança, escala e resiliência</w:t>
            </w:r>
          </w:p>
        </w:tc>
        <w:tc>
          <w:tcPr>
            <w:tcW w:type="dxa" w:w="2268"/>
          </w:tcPr>
          <w:p>
            <w:pPr>
              <w:spacing w:after="0" w:line="240" w:lineRule="auto"/>
              <w:jc w:val="left"/>
            </w:pPr>
            <w:r/>
            <w:r>
              <w:rPr>
                <w:b/>
                <w:i w:val="0"/>
                <w:sz w:val="19"/>
              </w:rPr>
              <w:t>Seção 5 (esta)</w:t>
            </w:r>
          </w:p>
        </w:tc>
        <w:tc>
          <w:tcPr>
            <w:tcW w:type="dxa" w:w="3969"/>
          </w:tcPr>
          <w:p>
            <w:pPr>
              <w:spacing w:after="0" w:line="240" w:lineRule="auto"/>
              <w:jc w:val="left"/>
            </w:pPr>
            <w:r/>
            <w:r>
              <w:rPr>
                <w:b w:val="0"/>
                <w:i w:val="0"/>
                <w:sz w:val="19"/>
              </w:rPr>
              <w:t>Define o "sob quais condições" da arquitetura</w:t>
            </w:r>
          </w:p>
        </w:tc>
      </w:tr>
    </w:tbl>
    <w:p>
      <w:r>
        <w:rPr>
          <w:b w:val="0"/>
          <w:i w:val="0"/>
          <w:sz w:val="22"/>
        </w:rPr>
        <w:t>Nenhuma decisão aqui altera a lista de serviços nem a matriz de comunicação: ela adiciona as políticas aplicadas sobre eles.</w:t>
      </w:r>
    </w:p>
    <w:p>
      <w:pPr>
        <w:pStyle w:val="Heading2"/>
      </w:pPr>
      <w:r>
        <w:rPr>
          <w:b w:val="0"/>
          <w:i w:val="0"/>
          <w:sz w:val="22"/>
        </w:rPr>
        <w:t>5.2 Retrato do sistema atual (evidências do repositório)</w:t>
      </w:r>
    </w:p>
    <w:p>
      <w:r>
        <w:rPr>
          <w:b w:val="0"/>
          <w:i w:val="0"/>
          <w:sz w:val="22"/>
        </w:rPr>
        <w:t xml:space="preserve">A seção parte de uma auditoria do código que o grupo já entregou nas fases anteriores. Isso importa por dois motivos: (a) mostra que a arquitetura proposta </w:t>
      </w:r>
      <w:r>
        <w:rPr>
          <w:b/>
          <w:i w:val="0"/>
          <w:sz w:val="22"/>
        </w:rPr>
        <w:t>resolve problemas reais e identificáveis</w:t>
      </w:r>
      <w:r>
        <w:rPr>
          <w:b w:val="0"/>
          <w:i w:val="0"/>
          <w:sz w:val="22"/>
        </w:rPr>
        <w:t xml:space="preserve">, e não problemas genéricos de livro; (b) evidencia que o grupo sabe onde está o monolito, o que é pré-requisito da migração via </w:t>
      </w:r>
      <w:r>
        <w:rPr>
          <w:b w:val="0"/>
          <w:i/>
          <w:sz w:val="22"/>
        </w:rPr>
        <w:t>Strangler Fig</w:t>
      </w:r>
      <w:r>
        <w:rPr>
          <w:b w:val="0"/>
          <w:i w:val="0"/>
          <w:sz w:val="22"/>
        </w:rPr>
        <w:t>.</w:t>
      </w:r>
    </w:p>
    <w:p>
      <w:pPr>
        <w:keepNext/>
        <w:spacing w:after="60" w:before="0"/>
        <w:jc w:val="left"/>
      </w:pPr>
      <w:r>
        <w:rPr>
          <w:b w:val="0"/>
          <w:i/>
          <w:color w:val="595959"/>
          <w:sz w:val="19"/>
        </w:rPr>
        <w:t>Tabela 15 — Retrato do sistema atual: evidência no repositório, risco e limitação</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trPr>
        <w:tc>
          <w:tcPr>
            <w:tcW w:type="dxa" w:w="1701"/>
            <w:shd w:val="clear" w:fill="F4E7EB"/>
          </w:tcPr>
          <w:p>
            <w:pPr>
              <w:spacing w:after="0"/>
              <w:jc w:val="left"/>
            </w:pPr>
            <w:r>
              <w:rPr>
                <w:b/>
              </w:rPr>
            </w:r>
            <w:r>
              <w:rPr>
                <w:b/>
                <w:i w:val="0"/>
                <w:sz w:val="18"/>
              </w:rPr>
              <w:t>Camada</w:t>
            </w:r>
          </w:p>
        </w:tc>
        <w:tc>
          <w:tcPr>
            <w:tcW w:type="dxa" w:w="2835"/>
            <w:shd w:val="clear" w:fill="F4E7EB"/>
          </w:tcPr>
          <w:p>
            <w:pPr>
              <w:spacing w:after="0"/>
              <w:jc w:val="left"/>
            </w:pPr>
            <w:r>
              <w:rPr>
                <w:b/>
              </w:rPr>
            </w:r>
            <w:r>
              <w:rPr>
                <w:b/>
                <w:i w:val="0"/>
                <w:sz w:val="18"/>
              </w:rPr>
              <w:t>O que existe hoje</w:t>
            </w:r>
          </w:p>
        </w:tc>
        <w:tc>
          <w:tcPr>
            <w:tcW w:type="dxa" w:w="2835"/>
            <w:shd w:val="clear" w:fill="F4E7EB"/>
          </w:tcPr>
          <w:p>
            <w:pPr>
              <w:spacing w:after="0"/>
              <w:jc w:val="left"/>
            </w:pPr>
            <w:r>
              <w:rPr>
                <w:b/>
              </w:rPr>
            </w:r>
            <w:r>
              <w:rPr>
                <w:b/>
                <w:i w:val="0"/>
                <w:sz w:val="18"/>
              </w:rPr>
              <w:t>Evidência no repositório</w:t>
            </w:r>
          </w:p>
        </w:tc>
        <w:tc>
          <w:tcPr>
            <w:tcW w:type="dxa" w:w="2268"/>
            <w:shd w:val="clear" w:fill="F4E7EB"/>
          </w:tcPr>
          <w:p>
            <w:pPr>
              <w:spacing w:after="0"/>
              <w:jc w:val="left"/>
            </w:pPr>
            <w:r>
              <w:rPr>
                <w:b/>
              </w:rPr>
            </w:r>
            <w:r>
              <w:rPr>
                <w:b/>
                <w:i w:val="0"/>
                <w:sz w:val="18"/>
              </w:rPr>
              <w:t>Risco / limitação</w:t>
            </w:r>
          </w:p>
        </w:tc>
      </w:tr>
      <w:tr>
        <w:tc>
          <w:tcPr>
            <w:tcW w:type="dxa" w:w="1701"/>
          </w:tcPr>
          <w:p>
            <w:pPr>
              <w:spacing w:after="0" w:line="240" w:lineRule="auto"/>
              <w:jc w:val="left"/>
            </w:pPr>
            <w:r/>
            <w:r>
              <w:rPr>
                <w:b w:val="0"/>
                <w:i w:val="0"/>
                <w:sz w:val="18"/>
              </w:rPr>
              <w:t>Aplicação web (monolito JSP/Servlet)</w:t>
            </w:r>
          </w:p>
        </w:tc>
        <w:tc>
          <w:tcPr>
            <w:tcW w:type="dxa" w:w="2835"/>
          </w:tcPr>
          <w:p>
            <w:pPr>
              <w:spacing w:after="0" w:line="240" w:lineRule="auto"/>
              <w:jc w:val="left"/>
            </w:pPr>
            <w:r/>
            <w:r>
              <w:rPr>
                <w:b w:val="0"/>
                <w:i w:val="0"/>
                <w:sz w:val="18"/>
              </w:rPr>
              <w:t xml:space="preserve">Login por sessão HTTP; usuários e senhas em </w:t>
            </w:r>
            <w:r>
              <w:rPr>
                <w:rFonts w:ascii="Consolas" w:hAnsi="Consolas"/>
                <w:b w:val="0"/>
                <w:i w:val="0"/>
                <w:color w:val="8B1A3A"/>
                <w:sz w:val="17"/>
              </w:rPr>
              <w:t>ConcurrentHashMap</w:t>
            </w:r>
            <w:r>
              <w:rPr>
                <w:b w:val="0"/>
                <w:i w:val="0"/>
                <w:sz w:val="18"/>
              </w:rPr>
              <w:t xml:space="preserve"> em memória, sem </w:t>
            </w:r>
            <w:r>
              <w:rPr>
                <w:b w:val="0"/>
                <w:i/>
                <w:sz w:val="18"/>
              </w:rPr>
              <w:t>hash</w:t>
            </w:r>
            <w:r>
              <w:rPr>
                <w:b w:val="0"/>
                <w:i w:val="0"/>
                <w:sz w:val="18"/>
              </w:rPr>
              <w:t xml:space="preserve">; usuário </w:t>
            </w:r>
            <w:r>
              <w:rPr>
                <w:rFonts w:ascii="Consolas" w:hAnsi="Consolas"/>
                <w:b w:val="0"/>
                <w:i w:val="0"/>
                <w:color w:val="8B1A3A"/>
                <w:sz w:val="17"/>
              </w:rPr>
              <w:t>admin</w:t>
            </w:r>
            <w:r>
              <w:rPr>
                <w:b w:val="0"/>
                <w:i w:val="0"/>
                <w:sz w:val="18"/>
              </w:rPr>
              <w:t xml:space="preserve"> semeado com senha padrão</w:t>
            </w:r>
          </w:p>
        </w:tc>
        <w:tc>
          <w:tcPr>
            <w:tcW w:type="dxa" w:w="2835"/>
          </w:tcPr>
          <w:p>
            <w:pPr>
              <w:spacing w:after="0" w:line="240" w:lineRule="auto"/>
              <w:jc w:val="left"/>
            </w:pPr>
            <w:r/>
            <w:r>
              <w:rPr>
                <w:rFonts w:ascii="Consolas" w:hAnsi="Consolas"/>
                <w:b w:val="0"/>
                <w:i w:val="0"/>
                <w:color w:val="8B1A3A"/>
                <w:sz w:val="17"/>
              </w:rPr>
              <w:t>Web/src/main/java/br/com/fiap/vinheriaagnello/repository/InMemoryDatabase.java</w:t>
            </w:r>
            <w:r>
              <w:rPr>
                <w:b w:val="0"/>
                <w:i w:val="0"/>
                <w:sz w:val="18"/>
              </w:rPr>
              <w:t xml:space="preserve"> (</w:t>
            </w:r>
            <w:r>
              <w:rPr>
                <w:rFonts w:ascii="Consolas" w:hAnsi="Consolas"/>
                <w:b w:val="0"/>
                <w:i w:val="0"/>
                <w:color w:val="8B1A3A"/>
                <w:sz w:val="17"/>
              </w:rPr>
              <w:t>CREDENTIALS</w:t>
            </w:r>
            <w:r>
              <w:rPr>
                <w:b w:val="0"/>
                <w:i w:val="0"/>
                <w:sz w:val="18"/>
              </w:rPr>
              <w:t xml:space="preserve">, </w:t>
            </w:r>
            <w:r>
              <w:rPr>
                <w:rFonts w:ascii="Consolas" w:hAnsi="Consolas"/>
                <w:b w:val="0"/>
                <w:i w:val="0"/>
                <w:color w:val="8B1A3A"/>
                <w:sz w:val="17"/>
              </w:rPr>
              <w:t>seed()</w:t>
            </w:r>
            <w:r>
              <w:rPr>
                <w:b w:val="0"/>
                <w:i w:val="0"/>
                <w:sz w:val="18"/>
              </w:rPr>
              <w:t>)</w:t>
            </w:r>
          </w:p>
        </w:tc>
        <w:tc>
          <w:tcPr>
            <w:tcW w:type="dxa" w:w="2268"/>
          </w:tcPr>
          <w:p>
            <w:pPr>
              <w:spacing w:after="0" w:line="240" w:lineRule="auto"/>
              <w:jc w:val="left"/>
            </w:pPr>
            <w:r/>
            <w:r>
              <w:rPr>
                <w:b w:val="0"/>
                <w:i w:val="0"/>
                <w:sz w:val="18"/>
              </w:rPr>
              <w:t xml:space="preserve">Credencial padrão e senha em texto claro; estado em memória não sobrevive a </w:t>
            </w:r>
            <w:r>
              <w:rPr>
                <w:b w:val="0"/>
                <w:i/>
                <w:sz w:val="18"/>
              </w:rPr>
              <w:t>restart</w:t>
            </w:r>
            <w:r>
              <w:rPr>
                <w:b w:val="0"/>
                <w:i w:val="0"/>
                <w:sz w:val="18"/>
              </w:rPr>
              <w:t xml:space="preserve"> nem escala horizontalmente</w:t>
            </w:r>
          </w:p>
        </w:tc>
      </w:tr>
      <w:tr>
        <w:tc>
          <w:tcPr>
            <w:tcW w:type="dxa" w:w="1701"/>
          </w:tcPr>
          <w:p>
            <w:pPr>
              <w:spacing w:after="0" w:line="240" w:lineRule="auto"/>
              <w:jc w:val="left"/>
            </w:pPr>
            <w:r/>
            <w:r>
              <w:rPr>
                <w:b w:val="0"/>
                <w:i w:val="0"/>
                <w:sz w:val="18"/>
              </w:rPr>
              <w:t>Filtro de autenticação (web)</w:t>
            </w:r>
          </w:p>
        </w:tc>
        <w:tc>
          <w:tcPr>
            <w:tcW w:type="dxa" w:w="2835"/>
          </w:tcPr>
          <w:p>
            <w:pPr>
              <w:spacing w:after="0" w:line="240" w:lineRule="auto"/>
              <w:jc w:val="left"/>
            </w:pPr>
            <w:r/>
            <w:r>
              <w:rPr>
                <w:rFonts w:ascii="Consolas" w:hAnsi="Consolas"/>
                <w:b w:val="0"/>
                <w:i w:val="0"/>
                <w:color w:val="8B1A3A"/>
                <w:sz w:val="17"/>
              </w:rPr>
              <w:t>@WebFilter(urlPatterns = "/app/*")</w:t>
            </w:r>
            <w:r>
              <w:rPr>
                <w:b w:val="0"/>
                <w:i w:val="0"/>
                <w:sz w:val="18"/>
              </w:rPr>
              <w:t xml:space="preserve"> — verifica apenas se existe usuário na sessão</w:t>
            </w:r>
          </w:p>
        </w:tc>
        <w:tc>
          <w:tcPr>
            <w:tcW w:type="dxa" w:w="2835"/>
          </w:tcPr>
          <w:p>
            <w:pPr>
              <w:spacing w:after="0" w:line="240" w:lineRule="auto"/>
              <w:jc w:val="left"/>
            </w:pPr>
            <w:r/>
            <w:r>
              <w:rPr>
                <w:rFonts w:ascii="Consolas" w:hAnsi="Consolas"/>
                <w:b w:val="0"/>
                <w:i w:val="0"/>
                <w:color w:val="8B1A3A"/>
                <w:sz w:val="17"/>
              </w:rPr>
              <w:t>.../web/AuthFilter.java</w:t>
            </w:r>
          </w:p>
        </w:tc>
        <w:tc>
          <w:tcPr>
            <w:tcW w:type="dxa" w:w="2268"/>
          </w:tcPr>
          <w:p>
            <w:pPr>
              <w:spacing w:after="0" w:line="240" w:lineRule="auto"/>
              <w:jc w:val="left"/>
            </w:pPr>
            <w:r/>
            <w:r>
              <w:rPr>
                <w:b w:val="0"/>
                <w:i w:val="0"/>
                <w:sz w:val="18"/>
              </w:rPr>
              <w:t xml:space="preserve">Rotas administrativas </w:t>
            </w:r>
            <w:r>
              <w:rPr>
                <w:rFonts w:ascii="Consolas" w:hAnsi="Consolas"/>
                <w:b w:val="0"/>
                <w:i w:val="0"/>
                <w:color w:val="8B1A3A"/>
                <w:sz w:val="17"/>
              </w:rPr>
              <w:t>ADMIN_WINES = /admin/vinhos</w:t>
            </w:r>
            <w:r>
              <w:rPr>
                <w:b w:val="0"/>
                <w:i w:val="0"/>
                <w:sz w:val="18"/>
              </w:rPr>
              <w:t xml:space="preserve"> e </w:t>
            </w:r>
            <w:r>
              <w:rPr>
                <w:rFonts w:ascii="Consolas" w:hAnsi="Consolas"/>
                <w:b w:val="0"/>
                <w:i w:val="0"/>
                <w:color w:val="8B1A3A"/>
                <w:sz w:val="17"/>
              </w:rPr>
              <w:t>ADMIN_CUSTOMERS = /admin/clientes</w:t>
            </w:r>
            <w:r>
              <w:rPr>
                <w:b w:val="0"/>
                <w:i w:val="0"/>
                <w:sz w:val="18"/>
              </w:rPr>
              <w:t xml:space="preserve"> (</w:t>
            </w:r>
            <w:r>
              <w:rPr>
                <w:rFonts w:ascii="Consolas" w:hAnsi="Consolas"/>
                <w:b w:val="0"/>
                <w:i w:val="0"/>
                <w:color w:val="8B1A3A"/>
                <w:sz w:val="17"/>
              </w:rPr>
              <w:t>WebRoutes.java</w:t>
            </w:r>
            <w:r>
              <w:rPr>
                <w:b w:val="0"/>
                <w:i w:val="0"/>
                <w:sz w:val="18"/>
              </w:rPr>
              <w:t xml:space="preserve">) </w:t>
            </w:r>
            <w:r>
              <w:rPr>
                <w:b/>
                <w:i w:val="0"/>
                <w:sz w:val="18"/>
              </w:rPr>
              <w:t>ficam fora do filtro</w:t>
            </w:r>
            <w:r>
              <w:rPr>
                <w:b w:val="0"/>
                <w:i w:val="0"/>
                <w:sz w:val="18"/>
              </w:rPr>
              <w:t xml:space="preserve">: há autenticação, mas </w:t>
            </w:r>
            <w:r>
              <w:rPr>
                <w:b/>
                <w:i w:val="0"/>
                <w:sz w:val="18"/>
              </w:rPr>
              <w:t>não há autorização por papel</w:t>
            </w:r>
          </w:p>
        </w:tc>
      </w:tr>
      <w:tr>
        <w:tc>
          <w:tcPr>
            <w:tcW w:type="dxa" w:w="1701"/>
          </w:tcPr>
          <w:p>
            <w:pPr>
              <w:spacing w:after="0" w:line="240" w:lineRule="auto"/>
              <w:jc w:val="left"/>
            </w:pPr>
            <w:r/>
            <w:r>
              <w:rPr>
                <w:b w:val="0"/>
                <w:i w:val="0"/>
                <w:sz w:val="18"/>
              </w:rPr>
              <w:t>API de estoque (.NET)</w:t>
            </w:r>
          </w:p>
        </w:tc>
        <w:tc>
          <w:tcPr>
            <w:tcW w:type="dxa" w:w="2835"/>
          </w:tcPr>
          <w:p>
            <w:pPr>
              <w:spacing w:after="0" w:line="240" w:lineRule="auto"/>
              <w:jc w:val="left"/>
            </w:pPr>
            <w:r/>
            <w:r>
              <w:rPr>
                <w:b w:val="0"/>
                <w:i w:val="0"/>
                <w:sz w:val="18"/>
              </w:rPr>
              <w:t xml:space="preserve">CORS </w:t>
            </w:r>
            <w:r>
              <w:rPr>
                <w:rFonts w:ascii="Consolas" w:hAnsi="Consolas"/>
                <w:b w:val="0"/>
                <w:i w:val="0"/>
                <w:color w:val="8B1A3A"/>
                <w:sz w:val="17"/>
              </w:rPr>
              <w:t>AllowAll</w:t>
            </w:r>
            <w:r>
              <w:rPr>
                <w:b w:val="0"/>
                <w:i w:val="0"/>
                <w:sz w:val="18"/>
              </w:rPr>
              <w:t xml:space="preserve"> (</w:t>
            </w:r>
            <w:r>
              <w:rPr>
                <w:rFonts w:ascii="Consolas" w:hAnsi="Consolas"/>
                <w:b w:val="0"/>
                <w:i w:val="0"/>
                <w:color w:val="8B1A3A"/>
                <w:sz w:val="17"/>
              </w:rPr>
              <w:t>AllowAnyOrigin</w:t>
            </w:r>
            <w:r>
              <w:rPr>
                <w:b w:val="0"/>
                <w:i w:val="0"/>
                <w:sz w:val="18"/>
              </w:rPr>
              <w:t xml:space="preserve"> + </w:t>
            </w:r>
            <w:r>
              <w:rPr>
                <w:rFonts w:ascii="Consolas" w:hAnsi="Consolas"/>
                <w:b w:val="0"/>
                <w:i w:val="0"/>
                <w:color w:val="8B1A3A"/>
                <w:sz w:val="17"/>
              </w:rPr>
              <w:t>AllowAnyMethod</w:t>
            </w:r>
            <w:r>
              <w:rPr>
                <w:b w:val="0"/>
                <w:i w:val="0"/>
                <w:sz w:val="18"/>
              </w:rPr>
              <w:t xml:space="preserve"> + </w:t>
            </w:r>
            <w:r>
              <w:rPr>
                <w:rFonts w:ascii="Consolas" w:hAnsi="Consolas"/>
                <w:b w:val="0"/>
                <w:i w:val="0"/>
                <w:color w:val="8B1A3A"/>
                <w:sz w:val="17"/>
              </w:rPr>
              <w:t>AllowAnyHeader</w:t>
            </w:r>
            <w:r>
              <w:rPr>
                <w:b w:val="0"/>
                <w:i w:val="0"/>
                <w:sz w:val="18"/>
              </w:rPr>
              <w:t xml:space="preserve">), </w:t>
            </w:r>
            <w:r>
              <w:rPr>
                <w:rFonts w:ascii="Consolas" w:hAnsi="Consolas"/>
                <w:b w:val="0"/>
                <w:i w:val="0"/>
                <w:color w:val="8B1A3A"/>
                <w:sz w:val="17"/>
              </w:rPr>
              <w:t>UseAuthorization()</w:t>
            </w:r>
            <w:r>
              <w:rPr>
                <w:b w:val="0"/>
                <w:i w:val="0"/>
                <w:sz w:val="18"/>
              </w:rPr>
              <w:t xml:space="preserve"> sem esquema de autenticação registrado, </w:t>
            </w:r>
            <w:r>
              <w:rPr>
                <w:rFonts w:ascii="Consolas" w:hAnsi="Consolas"/>
                <w:b w:val="0"/>
                <w:i w:val="0"/>
                <w:color w:val="8B1A3A"/>
                <w:sz w:val="17"/>
              </w:rPr>
              <w:t>AllowedHosts: "*"</w:t>
            </w:r>
          </w:p>
        </w:tc>
        <w:tc>
          <w:tcPr>
            <w:tcW w:type="dxa" w:w="2835"/>
          </w:tcPr>
          <w:p>
            <w:pPr>
              <w:spacing w:after="0" w:line="240" w:lineRule="auto"/>
              <w:jc w:val="left"/>
            </w:pPr>
            <w:r/>
            <w:r>
              <w:rPr>
                <w:rFonts w:ascii="Consolas" w:hAnsi="Consolas"/>
                <w:b w:val="0"/>
                <w:i w:val="0"/>
                <w:color w:val="8B1A3A"/>
                <w:sz w:val="17"/>
              </w:rPr>
              <w:t>Web/src/VinheriaAgnello.Server/src/VinheriaAgnello.API/Program.cs</w:t>
            </w:r>
            <w:r>
              <w:rPr>
                <w:b w:val="0"/>
                <w:i w:val="0"/>
                <w:sz w:val="18"/>
              </w:rPr>
              <w:t xml:space="preserve">; </w:t>
            </w:r>
            <w:r>
              <w:rPr>
                <w:rFonts w:ascii="Consolas" w:hAnsi="Consolas"/>
                <w:b w:val="0"/>
                <w:i w:val="0"/>
                <w:color w:val="8B1A3A"/>
                <w:sz w:val="17"/>
              </w:rPr>
              <w:t>appsettings.json</w:t>
            </w:r>
          </w:p>
        </w:tc>
        <w:tc>
          <w:tcPr>
            <w:tcW w:type="dxa" w:w="2268"/>
          </w:tcPr>
          <w:p>
            <w:pPr>
              <w:spacing w:after="0" w:line="240" w:lineRule="auto"/>
              <w:jc w:val="left"/>
            </w:pPr>
            <w:r/>
            <w:r>
              <w:rPr>
                <w:b w:val="0"/>
                <w:i w:val="0"/>
                <w:sz w:val="18"/>
              </w:rPr>
              <w:t xml:space="preserve">Qualquer origem consome a API; autorização declarada no </w:t>
            </w:r>
            <w:r>
              <w:rPr>
                <w:b w:val="0"/>
                <w:i/>
                <w:sz w:val="18"/>
              </w:rPr>
              <w:t>pipeline</w:t>
            </w:r>
            <w:r>
              <w:rPr>
                <w:b w:val="0"/>
                <w:i w:val="0"/>
                <w:sz w:val="18"/>
              </w:rPr>
              <w:t xml:space="preserve"> mas sem autenticação efetiva</w:t>
            </w:r>
          </w:p>
        </w:tc>
      </w:tr>
      <w:tr>
        <w:tc>
          <w:tcPr>
            <w:tcW w:type="dxa" w:w="1701"/>
          </w:tcPr>
          <w:p>
            <w:pPr>
              <w:spacing w:after="0" w:line="240" w:lineRule="auto"/>
              <w:jc w:val="left"/>
            </w:pPr>
            <w:r/>
            <w:r>
              <w:rPr>
                <w:b w:val="0"/>
                <w:i w:val="0"/>
                <w:sz w:val="18"/>
              </w:rPr>
              <w:t>Banco de dados</w:t>
            </w:r>
          </w:p>
        </w:tc>
        <w:tc>
          <w:tcPr>
            <w:tcW w:type="dxa" w:w="2835"/>
          </w:tcPr>
          <w:p>
            <w:pPr>
              <w:spacing w:after="0" w:line="240" w:lineRule="auto"/>
              <w:jc w:val="left"/>
            </w:pPr>
            <w:r/>
            <w:r>
              <w:rPr>
                <w:b w:val="0"/>
                <w:i w:val="0"/>
                <w:sz w:val="18"/>
              </w:rPr>
              <w:t>SQLite em arquivo único (</w:t>
            </w:r>
            <w:r>
              <w:rPr>
                <w:rFonts w:ascii="Consolas" w:hAnsi="Consolas"/>
                <w:b w:val="0"/>
                <w:i w:val="0"/>
                <w:color w:val="8B1A3A"/>
                <w:sz w:val="17"/>
              </w:rPr>
              <w:t>Data Source=vinheria_agnello.db</w:t>
            </w:r>
            <w:r>
              <w:rPr>
                <w:b w:val="0"/>
                <w:i w:val="0"/>
                <w:sz w:val="18"/>
              </w:rPr>
              <w:t xml:space="preserve">) com </w:t>
            </w:r>
            <w:r>
              <w:rPr>
                <w:rFonts w:ascii="Consolas" w:hAnsi="Consolas"/>
                <w:b w:val="0"/>
                <w:i w:val="0"/>
                <w:color w:val="8B1A3A"/>
                <w:sz w:val="17"/>
              </w:rPr>
              <w:t>EnsureCreated()</w:t>
            </w:r>
            <w:r>
              <w:rPr>
                <w:b w:val="0"/>
                <w:i w:val="0"/>
                <w:sz w:val="18"/>
              </w:rPr>
              <w:t xml:space="preserve"> no </w:t>
            </w:r>
            <w:r>
              <w:rPr>
                <w:b w:val="0"/>
                <w:i/>
                <w:sz w:val="18"/>
              </w:rPr>
              <w:t>startup</w:t>
            </w:r>
          </w:p>
        </w:tc>
        <w:tc>
          <w:tcPr>
            <w:tcW w:type="dxa" w:w="2835"/>
          </w:tcPr>
          <w:p>
            <w:pPr>
              <w:spacing w:after="0" w:line="240" w:lineRule="auto"/>
              <w:jc w:val="left"/>
            </w:pPr>
            <w:r/>
            <w:r>
              <w:rPr>
                <w:rFonts w:ascii="Consolas" w:hAnsi="Consolas"/>
                <w:b w:val="0"/>
                <w:i w:val="0"/>
                <w:color w:val="8B1A3A"/>
                <w:sz w:val="17"/>
              </w:rPr>
              <w:t>appsettings.json</w:t>
            </w:r>
            <w:r>
              <w:rPr>
                <w:b w:val="0"/>
                <w:i w:val="0"/>
                <w:sz w:val="18"/>
              </w:rPr>
              <w:t xml:space="preserve">; </w:t>
            </w:r>
            <w:r>
              <w:rPr>
                <w:rFonts w:ascii="Consolas" w:hAnsi="Consolas"/>
                <w:b w:val="0"/>
                <w:i w:val="0"/>
                <w:color w:val="8B1A3A"/>
                <w:sz w:val="17"/>
              </w:rPr>
              <w:t>Program.cs</w:t>
            </w:r>
          </w:p>
        </w:tc>
        <w:tc>
          <w:tcPr>
            <w:tcW w:type="dxa" w:w="2268"/>
          </w:tcPr>
          <w:p>
            <w:pPr>
              <w:spacing w:after="0" w:line="240" w:lineRule="auto"/>
              <w:jc w:val="left"/>
            </w:pPr>
            <w:r/>
            <w:r>
              <w:rPr>
                <w:b w:val="0"/>
                <w:i w:val="0"/>
                <w:sz w:val="18"/>
              </w:rPr>
              <w:t xml:space="preserve">Banco único compartilhado por todos os módulos — exatamente o que o padrão </w:t>
            </w:r>
            <w:r>
              <w:rPr>
                <w:b w:val="0"/>
                <w:i/>
                <w:sz w:val="18"/>
              </w:rPr>
              <w:t>Database per Service</w:t>
            </w:r>
            <w:r>
              <w:rPr>
                <w:b w:val="0"/>
                <w:i w:val="0"/>
                <w:sz w:val="18"/>
              </w:rPr>
              <w:t xml:space="preserve"> elimina</w:t>
            </w:r>
          </w:p>
        </w:tc>
      </w:tr>
      <w:tr>
        <w:tc>
          <w:tcPr>
            <w:tcW w:type="dxa" w:w="1701"/>
          </w:tcPr>
          <w:p>
            <w:pPr>
              <w:spacing w:after="0" w:line="240" w:lineRule="auto"/>
              <w:jc w:val="left"/>
            </w:pPr>
            <w:r/>
            <w:r>
              <w:rPr>
                <w:b w:val="0"/>
                <w:i w:val="0"/>
                <w:sz w:val="18"/>
              </w:rPr>
              <w:t>Contrato da API</w:t>
            </w:r>
          </w:p>
        </w:tc>
        <w:tc>
          <w:tcPr>
            <w:tcW w:type="dxa" w:w="2835"/>
          </w:tcPr>
          <w:p>
            <w:pPr>
              <w:spacing w:after="0" w:line="240" w:lineRule="auto"/>
              <w:jc w:val="left"/>
            </w:pPr>
            <w:r/>
            <w:r>
              <w:rPr>
                <w:b w:val="0"/>
                <w:i w:val="0"/>
                <w:sz w:val="18"/>
              </w:rPr>
              <w:t xml:space="preserve">Swagger gerado em tempo de execução, exposto apenas em </w:t>
            </w:r>
            <w:r>
              <w:rPr>
                <w:rFonts w:ascii="Consolas" w:hAnsi="Consolas"/>
                <w:b w:val="0"/>
                <w:i w:val="0"/>
                <w:color w:val="8B1A3A"/>
                <w:sz w:val="17"/>
              </w:rPr>
              <w:t>Development</w:t>
            </w:r>
            <w:r>
              <w:rPr>
                <w:b w:val="0"/>
                <w:i w:val="0"/>
                <w:sz w:val="18"/>
              </w:rPr>
              <w:t>, sem arquivo de contrato versionado</w:t>
            </w:r>
          </w:p>
        </w:tc>
        <w:tc>
          <w:tcPr>
            <w:tcW w:type="dxa" w:w="2835"/>
          </w:tcPr>
          <w:p>
            <w:pPr>
              <w:spacing w:after="0" w:line="240" w:lineRule="auto"/>
              <w:jc w:val="left"/>
            </w:pPr>
            <w:r/>
            <w:r>
              <w:rPr>
                <w:rFonts w:ascii="Consolas" w:hAnsi="Consolas"/>
                <w:b w:val="0"/>
                <w:i w:val="0"/>
                <w:color w:val="8B1A3A"/>
                <w:sz w:val="17"/>
              </w:rPr>
              <w:t>Program.cs</w:t>
            </w:r>
            <w:r>
              <w:rPr>
                <w:b w:val="0"/>
                <w:i w:val="0"/>
                <w:sz w:val="18"/>
              </w:rPr>
              <w:t xml:space="preserve"> (</w:t>
            </w:r>
            <w:r>
              <w:rPr>
                <w:rFonts w:ascii="Consolas" w:hAnsi="Consolas"/>
                <w:b w:val="0"/>
                <w:i w:val="0"/>
                <w:color w:val="8B1A3A"/>
                <w:sz w:val="17"/>
              </w:rPr>
              <w:t>UseSwagger</w:t>
            </w:r>
            <w:r>
              <w:rPr>
                <w:b w:val="0"/>
                <w:i w:val="0"/>
                <w:sz w:val="18"/>
              </w:rPr>
              <w:t>/</w:t>
            </w:r>
            <w:r>
              <w:rPr>
                <w:rFonts w:ascii="Consolas" w:hAnsi="Consolas"/>
                <w:b w:val="0"/>
                <w:i w:val="0"/>
                <w:color w:val="8B1A3A"/>
                <w:sz w:val="17"/>
              </w:rPr>
              <w:t>UseSwaggerUI</w:t>
            </w:r>
            <w:r>
              <w:rPr>
                <w:b w:val="0"/>
                <w:i w:val="0"/>
                <w:sz w:val="18"/>
              </w:rPr>
              <w:t>)</w:t>
            </w:r>
          </w:p>
        </w:tc>
        <w:tc>
          <w:tcPr>
            <w:tcW w:type="dxa" w:w="2268"/>
          </w:tcPr>
          <w:p>
            <w:pPr>
              <w:spacing w:after="0" w:line="240" w:lineRule="auto"/>
              <w:jc w:val="left"/>
            </w:pPr>
            <w:r/>
            <w:r>
              <w:rPr>
                <w:b w:val="0"/>
                <w:i w:val="0"/>
                <w:sz w:val="18"/>
              </w:rPr>
              <w:t xml:space="preserve">Sem contrato como fonte da verdade: nada impede o </w:t>
            </w:r>
            <w:r>
              <w:rPr>
                <w:b w:val="0"/>
                <w:i/>
                <w:sz w:val="18"/>
              </w:rPr>
              <w:t>mobile</w:t>
            </w:r>
            <w:r>
              <w:rPr>
                <w:b w:val="0"/>
                <w:i w:val="0"/>
                <w:sz w:val="18"/>
              </w:rPr>
              <w:t xml:space="preserve"> e o </w:t>
            </w:r>
            <w:r>
              <w:rPr>
                <w:b w:val="0"/>
                <w:i/>
                <w:sz w:val="18"/>
              </w:rPr>
              <w:t>web</w:t>
            </w:r>
            <w:r>
              <w:rPr>
                <w:b w:val="0"/>
                <w:i w:val="0"/>
                <w:sz w:val="18"/>
              </w:rPr>
              <w:t xml:space="preserve"> divergirem</w:t>
            </w:r>
          </w:p>
        </w:tc>
      </w:tr>
      <w:tr>
        <w:tc>
          <w:tcPr>
            <w:tcW w:type="dxa" w:w="1701"/>
          </w:tcPr>
          <w:p>
            <w:pPr>
              <w:spacing w:after="0" w:line="240" w:lineRule="auto"/>
              <w:jc w:val="left"/>
            </w:pPr>
            <w:r/>
            <w:r>
              <w:rPr>
                <w:b w:val="0"/>
                <w:i w:val="0"/>
                <w:sz w:val="18"/>
              </w:rPr>
              <w:t>Mobile (Android)</w:t>
            </w:r>
          </w:p>
        </w:tc>
        <w:tc>
          <w:tcPr>
            <w:tcW w:type="dxa" w:w="2835"/>
          </w:tcPr>
          <w:p>
            <w:pPr>
              <w:spacing w:after="0" w:line="240" w:lineRule="auto"/>
              <w:jc w:val="left"/>
            </w:pPr>
            <w:r/>
            <w:r>
              <w:rPr>
                <w:b w:val="0"/>
                <w:i w:val="0"/>
                <w:sz w:val="18"/>
              </w:rPr>
              <w:t xml:space="preserve">Banco local Room com entidade </w:t>
            </w:r>
            <w:r>
              <w:rPr>
                <w:rFonts w:ascii="Consolas" w:hAnsi="Consolas"/>
                <w:b w:val="0"/>
                <w:i w:val="0"/>
                <w:color w:val="8B1A3A"/>
                <w:sz w:val="17"/>
              </w:rPr>
              <w:t>Produto</w:t>
            </w:r>
            <w:r>
              <w:rPr>
                <w:b w:val="0"/>
                <w:i w:val="0"/>
                <w:sz w:val="18"/>
              </w:rPr>
              <w:t xml:space="preserve"> (nome, tipo, safra, quantidade, preço) e DAO</w:t>
            </w:r>
          </w:p>
        </w:tc>
        <w:tc>
          <w:tcPr>
            <w:tcW w:type="dxa" w:w="2835"/>
          </w:tcPr>
          <w:p>
            <w:pPr>
              <w:spacing w:after="0" w:line="240" w:lineRule="auto"/>
              <w:jc w:val="left"/>
            </w:pPr>
            <w:r/>
            <w:r>
              <w:rPr>
                <w:rFonts w:ascii="Consolas" w:hAnsi="Consolas"/>
                <w:b w:val="0"/>
                <w:i w:val="0"/>
                <w:color w:val="8B1A3A"/>
                <w:sz w:val="17"/>
              </w:rPr>
              <w:t>Mobile/app/src/main/java/com/example/myapplication/data/local/entity/Produto.kt</w:t>
            </w:r>
            <w:r>
              <w:rPr>
                <w:b w:val="0"/>
                <w:i w:val="0"/>
                <w:sz w:val="18"/>
              </w:rPr>
              <w:t xml:space="preserve">; </w:t>
            </w:r>
            <w:r>
              <w:rPr>
                <w:rFonts w:ascii="Consolas" w:hAnsi="Consolas"/>
                <w:b w:val="0"/>
                <w:i w:val="0"/>
                <w:color w:val="8B1A3A"/>
                <w:sz w:val="17"/>
              </w:rPr>
              <w:t>dao/ProdutoDao.kt</w:t>
            </w:r>
          </w:p>
        </w:tc>
        <w:tc>
          <w:tcPr>
            <w:tcW w:type="dxa" w:w="2268"/>
          </w:tcPr>
          <w:p>
            <w:pPr>
              <w:spacing w:after="0" w:line="240" w:lineRule="auto"/>
              <w:jc w:val="left"/>
            </w:pPr>
            <w:r/>
            <w:r>
              <w:rPr>
                <w:b w:val="0"/>
                <w:i w:val="0"/>
                <w:sz w:val="18"/>
              </w:rPr>
              <w:t>Dado em repouso sem criptografia no dispositivo; sincronização com o servidor não é autenticada por identidade de usuário</w:t>
            </w:r>
          </w:p>
        </w:tc>
      </w:tr>
      <w:tr>
        <w:tc>
          <w:tcPr>
            <w:tcW w:type="dxa" w:w="1701"/>
          </w:tcPr>
          <w:p>
            <w:pPr>
              <w:spacing w:after="0" w:line="240" w:lineRule="auto"/>
              <w:jc w:val="left"/>
            </w:pPr>
            <w:r/>
            <w:r>
              <w:rPr>
                <w:b w:val="0"/>
                <w:i w:val="0"/>
                <w:sz w:val="18"/>
              </w:rPr>
              <w:t>IoT / adega</w:t>
            </w:r>
          </w:p>
        </w:tc>
        <w:tc>
          <w:tcPr>
            <w:tcW w:type="dxa" w:w="2835"/>
          </w:tcPr>
          <w:p>
            <w:pPr>
              <w:spacing w:after="0" w:line="240" w:lineRule="auto"/>
              <w:jc w:val="left"/>
            </w:pPr>
            <w:r/>
            <w:r>
              <w:rPr>
                <w:b w:val="0"/>
                <w:i w:val="0"/>
                <w:sz w:val="18"/>
              </w:rPr>
              <w:t xml:space="preserve">Arduino Uno (Wokwi) com </w:t>
            </w:r>
            <w:r>
              <w:rPr>
                <w:b/>
                <w:i w:val="0"/>
                <w:sz w:val="18"/>
              </w:rPr>
              <w:t>DHT22</w:t>
            </w:r>
            <w:r>
              <w:rPr>
                <w:b w:val="0"/>
                <w:i w:val="0"/>
                <w:sz w:val="18"/>
              </w:rPr>
              <w:t xml:space="preserve"> (temperatura/umidade, pino D2) e </w:t>
            </w:r>
            <w:r>
              <w:rPr>
                <w:b/>
                <w:i w:val="0"/>
                <w:sz w:val="18"/>
              </w:rPr>
              <w:t>LDR</w:t>
            </w:r>
            <w:r>
              <w:rPr>
                <w:b w:val="0"/>
                <w:i w:val="0"/>
                <w:sz w:val="18"/>
              </w:rPr>
              <w:t xml:space="preserve"> (luminosidade bruta, A0), JSON a cada </w:t>
            </w:r>
            <w:r>
              <w:rPr>
                <w:b/>
                <w:i w:val="0"/>
                <w:sz w:val="18"/>
              </w:rPr>
              <w:t>4000 ms</w:t>
            </w:r>
            <w:r>
              <w:rPr>
                <w:b w:val="0"/>
                <w:i w:val="0"/>
                <w:sz w:val="18"/>
              </w:rPr>
              <w:t xml:space="preserve"> a 9600 baud → ponte Python (</w:t>
            </w:r>
            <w:r>
              <w:rPr>
                <w:rFonts w:ascii="Consolas" w:hAnsi="Consolas"/>
                <w:b w:val="0"/>
                <w:i w:val="0"/>
                <w:color w:val="8B1A3A"/>
                <w:sz w:val="17"/>
              </w:rPr>
              <w:t>rfc2217://localhost:4000</w:t>
            </w:r>
            <w:r>
              <w:rPr>
                <w:b w:val="0"/>
                <w:i w:val="0"/>
                <w:sz w:val="18"/>
              </w:rPr>
              <w:t>) → Node-RED (</w:t>
            </w:r>
            <w:r>
              <w:rPr>
                <w:rFonts w:ascii="Consolas" w:hAnsi="Consolas"/>
                <w:b w:val="0"/>
                <w:i w:val="0"/>
                <w:color w:val="8B1A3A"/>
                <w:sz w:val="17"/>
              </w:rPr>
              <w:t>:1880</w:t>
            </w:r>
            <w:r>
              <w:rPr>
                <w:b w:val="0"/>
                <w:i w:val="0"/>
                <w:sz w:val="18"/>
              </w:rPr>
              <w:t xml:space="preserve">) → </w:t>
            </w:r>
            <w:r>
              <w:rPr>
                <w:b/>
                <w:i w:val="0"/>
                <w:sz w:val="18"/>
              </w:rPr>
              <w:t>HiveMQ Cloud, 8883 com TLS</w:t>
            </w:r>
          </w:p>
        </w:tc>
        <w:tc>
          <w:tcPr>
            <w:tcW w:type="dxa" w:w="2835"/>
          </w:tcPr>
          <w:p>
            <w:pPr>
              <w:spacing w:after="0" w:line="240" w:lineRule="auto"/>
              <w:jc w:val="left"/>
            </w:pPr>
            <w:r/>
            <w:r>
              <w:rPr>
                <w:rFonts w:ascii="Consolas" w:hAnsi="Consolas"/>
                <w:b w:val="0"/>
                <w:i w:val="0"/>
                <w:color w:val="8B1A3A"/>
                <w:sz w:val="17"/>
              </w:rPr>
              <w:t>Arduino/VinheriaSensores/VinheriaSensores.ino</w:t>
            </w:r>
            <w:r>
              <w:rPr>
                <w:b w:val="0"/>
                <w:i w:val="0"/>
                <w:sz w:val="18"/>
              </w:rPr>
              <w:t xml:space="preserve">; </w:t>
            </w:r>
            <w:r>
              <w:rPr>
                <w:rFonts w:ascii="Consolas" w:hAnsi="Consolas"/>
                <w:b w:val="0"/>
                <w:i w:val="0"/>
                <w:color w:val="8B1A3A"/>
                <w:sz w:val="17"/>
              </w:rPr>
              <w:t>MQTT/README_MQTT.md</w:t>
            </w:r>
          </w:p>
        </w:tc>
        <w:tc>
          <w:tcPr>
            <w:tcW w:type="dxa" w:w="2268"/>
          </w:tcPr>
          <w:p>
            <w:pPr>
              <w:spacing w:after="0" w:line="240" w:lineRule="auto"/>
              <w:jc w:val="left"/>
            </w:pPr>
            <w:r/>
            <w:r>
              <w:rPr>
                <w:b w:val="0"/>
                <w:i w:val="0"/>
                <w:sz w:val="18"/>
              </w:rPr>
              <w:t xml:space="preserve">Credencial MQTT </w:t>
            </w:r>
            <w:r>
              <w:rPr>
                <w:b/>
                <w:i w:val="0"/>
                <w:sz w:val="18"/>
              </w:rPr>
              <w:t xml:space="preserve">compartilhada com permissão de Publish </w:t>
            </w:r>
            <w:r>
              <w:rPr>
                <w:b/>
                <w:i/>
                <w:sz w:val="18"/>
              </w:rPr>
              <w:t>e</w:t>
            </w:r>
            <w:r>
              <w:rPr>
                <w:b/>
                <w:i w:val="0"/>
                <w:sz w:val="18"/>
              </w:rPr>
              <w:t xml:space="preserve"> Subscribe</w:t>
            </w:r>
            <w:r>
              <w:rPr>
                <w:b w:val="0"/>
                <w:i w:val="0"/>
                <w:sz w:val="18"/>
              </w:rPr>
              <w:t xml:space="preserve"> e tópico </w:t>
            </w:r>
            <w:r>
              <w:rPr>
                <w:rFonts w:ascii="Consolas" w:hAnsi="Consolas"/>
                <w:b w:val="0"/>
                <w:i w:val="0"/>
                <w:color w:val="8B1A3A"/>
                <w:sz w:val="17"/>
              </w:rPr>
              <w:t>Fiap/iot/3ESOA/CodeSquad/sensor</w:t>
            </w:r>
            <w:r>
              <w:rPr>
                <w:b w:val="0"/>
                <w:i w:val="0"/>
                <w:sz w:val="18"/>
              </w:rPr>
              <w:t>: qualquer portador da credencial pode publicar leitura falsa na adega</w:t>
            </w:r>
          </w:p>
        </w:tc>
      </w:tr>
      <w:tr>
        <w:tc>
          <w:tcPr>
            <w:tcW w:type="dxa" w:w="1701"/>
          </w:tcPr>
          <w:p>
            <w:pPr>
              <w:spacing w:after="0" w:line="240" w:lineRule="auto"/>
              <w:jc w:val="left"/>
            </w:pPr>
            <w:r/>
            <w:r>
              <w:rPr>
                <w:b w:val="0"/>
                <w:i w:val="0"/>
                <w:sz w:val="18"/>
              </w:rPr>
              <w:t>Dados analíticos</w:t>
            </w:r>
          </w:p>
        </w:tc>
        <w:tc>
          <w:tcPr>
            <w:tcW w:type="dxa" w:w="2835"/>
          </w:tcPr>
          <w:p>
            <w:pPr>
              <w:spacing w:after="0" w:line="240" w:lineRule="auto"/>
              <w:jc w:val="left"/>
            </w:pPr>
            <w:r/>
            <w:r>
              <w:rPr>
                <w:b w:val="0"/>
                <w:i w:val="0"/>
                <w:sz w:val="18"/>
              </w:rPr>
              <w:t xml:space="preserve">CSV com </w:t>
            </w:r>
            <w:r>
              <w:rPr>
                <w:rFonts w:ascii="Consolas" w:hAnsi="Consolas"/>
                <w:b w:val="0"/>
                <w:i w:val="0"/>
                <w:color w:val="8B1A3A"/>
                <w:sz w:val="17"/>
              </w:rPr>
              <w:t>ID_Venda, Data, Produto, Canal_Venda, Regiao, Valor_Total, Idade_Cliente, Lead_Time_Entrega, Sucesso_Venda</w:t>
            </w:r>
            <w:r>
              <w:rPr>
                <w:b w:val="0"/>
                <w:i w:val="0"/>
                <w:sz w:val="18"/>
              </w:rPr>
              <w:t xml:space="preserve"> + dashboard Tableau (</w:t>
            </w:r>
            <w:r>
              <w:rPr>
                <w:rFonts w:ascii="Consolas" w:hAnsi="Consolas"/>
                <w:b w:val="0"/>
                <w:i w:val="0"/>
                <w:color w:val="8B1A3A"/>
                <w:sz w:val="17"/>
              </w:rPr>
              <w:t>.twbx</w:t>
            </w:r>
            <w:r>
              <w:rPr>
                <w:b w:val="0"/>
                <w:i w:val="0"/>
                <w:sz w:val="18"/>
              </w:rPr>
              <w:t>)</w:t>
            </w:r>
          </w:p>
        </w:tc>
        <w:tc>
          <w:tcPr>
            <w:tcW w:type="dxa" w:w="2835"/>
          </w:tcPr>
          <w:p>
            <w:pPr>
              <w:spacing w:after="0" w:line="240" w:lineRule="auto"/>
              <w:jc w:val="left"/>
            </w:pPr>
            <w:r/>
            <w:r>
              <w:rPr>
                <w:rFonts w:ascii="Consolas" w:hAnsi="Consolas"/>
                <w:b w:val="0"/>
                <w:i w:val="0"/>
                <w:color w:val="8B1A3A"/>
                <w:sz w:val="17"/>
              </w:rPr>
              <w:t>Web/historico_vendas-vinheria_agnello.csv</w:t>
            </w:r>
            <w:r>
              <w:rPr>
                <w:b w:val="0"/>
                <w:i w:val="0"/>
                <w:sz w:val="18"/>
              </w:rPr>
              <w:t xml:space="preserve">; </w:t>
            </w:r>
            <w:r>
              <w:rPr>
                <w:rFonts w:ascii="Consolas" w:hAnsi="Consolas"/>
                <w:b w:val="0"/>
                <w:i w:val="0"/>
                <w:color w:val="8B1A3A"/>
                <w:sz w:val="17"/>
              </w:rPr>
              <w:t>Web/vinheria dashboard.twbx</w:t>
            </w:r>
          </w:p>
        </w:tc>
        <w:tc>
          <w:tcPr>
            <w:tcW w:type="dxa" w:w="2268"/>
          </w:tcPr>
          <w:p>
            <w:pPr>
              <w:spacing w:after="0" w:line="240" w:lineRule="auto"/>
              <w:jc w:val="left"/>
            </w:pPr>
            <w:r/>
            <w:r>
              <w:rPr>
                <w:b w:val="0"/>
                <w:i w:val="0"/>
                <w:sz w:val="18"/>
              </w:rPr>
              <w:t>Idade de cliente em base analítica sem pseudonimização, base legal documentada ou política de retenção</w:t>
            </w:r>
          </w:p>
        </w:tc>
      </w:tr>
    </w:tbl>
    <w:p>
      <w:r>
        <w:rPr>
          <w:b/>
          <w:i w:val="0"/>
          <w:sz w:val="22"/>
        </w:rPr>
        <w:t>Conclusão da auditoria:</w:t>
      </w:r>
      <w:r>
        <w:rPr>
          <w:b w:val="0"/>
          <w:i w:val="0"/>
          <w:sz w:val="22"/>
        </w:rPr>
        <w:t xml:space="preserve"> o sistema atual tem autenticação frágil (sessão + senha padrão em memória), autorização inexistente por papel, API aberta a qualquer origem, banco único compartilhado, ausência de contrato versionado e credenciais de broker compartilhadas. Todos esses pontos são tratados nas seções 3 a 9 abaixo, </w:t>
      </w:r>
      <w:r>
        <w:rPr>
          <w:b/>
          <w:i w:val="0"/>
          <w:sz w:val="22"/>
        </w:rPr>
        <w:t>como política da arquitetura de microsserviços</w:t>
      </w:r>
      <w:r>
        <w:rPr>
          <w:b w:val="0"/>
          <w:i w:val="0"/>
          <w:sz w:val="22"/>
        </w:rPr>
        <w:t xml:space="preserve"> — não como correção pontual do monolito atual (que segue no ar durante a migração).</w:t>
      </w:r>
    </w:p>
    <w:p>
      <w:pPr>
        <w:pStyle w:val="Heading2"/>
      </w:pPr>
      <w:r>
        <w:rPr>
          <w:b w:val="0"/>
          <w:i w:val="0"/>
          <w:sz w:val="22"/>
        </w:rPr>
        <w:t>5.3 Autenticação</w:t>
      </w:r>
    </w:p>
    <w:p>
      <w:pPr>
        <w:pStyle w:val="Heading3"/>
      </w:pPr>
      <w:r>
        <w:rPr>
          <w:b w:val="0"/>
          <w:i w:val="0"/>
          <w:sz w:val="22"/>
        </w:rPr>
        <w:t>5.3.1 Padrão escolhido: OAuth 2.0 / OpenID Connect com Keycloak</w:t>
      </w:r>
    </w:p>
    <w:p>
      <w:pPr>
        <w:pStyle w:val="ListBullet"/>
      </w:pPr>
      <w:r>
        <w:rPr>
          <w:b w:val="0"/>
          <w:i w:val="0"/>
          <w:sz w:val="22"/>
        </w:rPr>
        <w:t xml:space="preserve">O </w:t>
      </w:r>
      <w:r>
        <w:rPr>
          <w:rFonts w:ascii="Consolas" w:hAnsi="Consolas"/>
          <w:b w:val="0"/>
          <w:i w:val="0"/>
          <w:color w:val="8B1A3A"/>
          <w:sz w:val="21"/>
        </w:rPr>
        <w:t>ms-identidade</w:t>
      </w:r>
      <w:r>
        <w:rPr>
          <w:b w:val="0"/>
          <w:i w:val="0"/>
          <w:sz w:val="22"/>
        </w:rPr>
        <w:t xml:space="preserve"> é implementado com </w:t>
      </w:r>
      <w:r>
        <w:rPr>
          <w:b/>
          <w:i w:val="0"/>
          <w:sz w:val="22"/>
        </w:rPr>
        <w:t>Keycloak</w:t>
      </w:r>
      <w:r>
        <w:rPr>
          <w:b w:val="0"/>
          <w:i w:val="0"/>
          <w:sz w:val="22"/>
        </w:rPr>
        <w:t xml:space="preserve"> (OIDC), responsável por emissão, renovação e revogação de credenciais. Nenhum serviço de negócio implementa tela de login, armazena senha ou valida senha.</w:t>
      </w:r>
    </w:p>
    <w:p>
      <w:pPr>
        <w:pStyle w:val="ListBullet"/>
      </w:pPr>
      <w:r>
        <w:rPr>
          <w:b/>
          <w:i w:val="0"/>
          <w:sz w:val="22"/>
        </w:rPr>
        <w:t>Access token JWT de vida curta (5 min)</w:t>
      </w:r>
      <w:r>
        <w:rPr>
          <w:b w:val="0"/>
          <w:i w:val="0"/>
          <w:sz w:val="22"/>
        </w:rPr>
        <w:t xml:space="preserve"> + </w:t>
      </w:r>
      <w:r>
        <w:rPr>
          <w:b/>
          <w:i w:val="0"/>
          <w:sz w:val="22"/>
        </w:rPr>
        <w:t>refresh token rotativo</w:t>
      </w:r>
      <w:r>
        <w:rPr>
          <w:b w:val="0"/>
          <w:i w:val="0"/>
          <w:sz w:val="22"/>
        </w:rPr>
        <w:t xml:space="preserve"> (7 dias para web, 30 dias para o app mobile com renovação por uso). Vida curta reduz o dano de um token vazado e torna a revogação eficaz na prática.</w:t>
      </w:r>
    </w:p>
    <w:p>
      <w:pPr>
        <w:pStyle w:val="ListBullet"/>
      </w:pPr>
      <w:r>
        <w:rPr>
          <w:b w:val="0"/>
          <w:i w:val="0"/>
          <w:sz w:val="22"/>
        </w:rPr>
        <w:t xml:space="preserve">Claims do token: </w:t>
      </w:r>
      <w:r>
        <w:rPr>
          <w:rFonts w:ascii="Consolas" w:hAnsi="Consolas"/>
          <w:b w:val="0"/>
          <w:i w:val="0"/>
          <w:color w:val="8B1A3A"/>
          <w:sz w:val="21"/>
        </w:rPr>
        <w:t>sub</w:t>
      </w:r>
      <w:r>
        <w:rPr>
          <w:b w:val="0"/>
          <w:i w:val="0"/>
          <w:sz w:val="22"/>
        </w:rPr>
        <w:t xml:space="preserve"> (identificador do cliente/usuário), </w:t>
      </w:r>
      <w:r>
        <w:rPr>
          <w:rFonts w:ascii="Consolas" w:hAnsi="Consolas"/>
          <w:b w:val="0"/>
          <w:i w:val="0"/>
          <w:color w:val="8B1A3A"/>
          <w:sz w:val="21"/>
        </w:rPr>
        <w:t>perfis</w:t>
      </w:r>
      <w:r>
        <w:rPr>
          <w:b w:val="0"/>
          <w:i w:val="0"/>
          <w:sz w:val="22"/>
        </w:rPr>
        <w:t xml:space="preserve"> (papéis — seção 5.4), </w:t>
      </w:r>
      <w:r>
        <w:rPr>
          <w:rFonts w:ascii="Consolas" w:hAnsi="Consolas"/>
          <w:b w:val="0"/>
          <w:i w:val="0"/>
          <w:color w:val="8B1A3A"/>
          <w:sz w:val="21"/>
        </w:rPr>
        <w:t>escopo</w:t>
      </w:r>
      <w:r>
        <w:rPr>
          <w:b w:val="0"/>
          <w:i w:val="0"/>
          <w:sz w:val="22"/>
        </w:rPr>
        <w:t xml:space="preserve">, </w:t>
      </w:r>
      <w:r>
        <w:rPr>
          <w:rFonts w:ascii="Consolas" w:hAnsi="Consolas"/>
          <w:b w:val="0"/>
          <w:i w:val="0"/>
          <w:color w:val="8B1A3A"/>
          <w:sz w:val="21"/>
        </w:rPr>
        <w:t>cliente_loja</w:t>
      </w:r>
      <w:r>
        <w:rPr>
          <w:b w:val="0"/>
          <w:i w:val="0"/>
          <w:sz w:val="22"/>
        </w:rPr>
        <w:t xml:space="preserve"> (para operador lotado em uma loja), </w:t>
      </w:r>
      <w:r>
        <w:rPr>
          <w:rFonts w:ascii="Consolas" w:hAnsi="Consolas"/>
          <w:b w:val="0"/>
          <w:i w:val="0"/>
          <w:color w:val="8B1A3A"/>
          <w:sz w:val="21"/>
        </w:rPr>
        <w:t>exp</w:t>
      </w:r>
      <w:r>
        <w:rPr>
          <w:b w:val="0"/>
          <w:i w:val="0"/>
          <w:sz w:val="22"/>
        </w:rPr>
        <w:t xml:space="preserve">, </w:t>
      </w:r>
      <w:r>
        <w:rPr>
          <w:rFonts w:ascii="Consolas" w:hAnsi="Consolas"/>
          <w:b w:val="0"/>
          <w:i w:val="0"/>
          <w:color w:val="8B1A3A"/>
          <w:sz w:val="21"/>
        </w:rPr>
        <w:t>iat</w:t>
      </w:r>
      <w:r>
        <w:rPr>
          <w:b w:val="0"/>
          <w:i w:val="0"/>
          <w:sz w:val="22"/>
        </w:rPr>
        <w:t xml:space="preserve">, </w:t>
      </w:r>
      <w:r>
        <w:rPr>
          <w:rFonts w:ascii="Consolas" w:hAnsi="Consolas"/>
          <w:b w:val="0"/>
          <w:i w:val="0"/>
          <w:color w:val="8B1A3A"/>
          <w:sz w:val="21"/>
        </w:rPr>
        <w:t>jti</w:t>
      </w:r>
      <w:r>
        <w:rPr>
          <w:b w:val="0"/>
          <w:i w:val="0"/>
          <w:sz w:val="22"/>
        </w:rPr>
        <w:t xml:space="preserve">. Os claims </w:t>
      </w:r>
      <w:r>
        <w:rPr>
          <w:b/>
          <w:i w:val="0"/>
          <w:sz w:val="22"/>
        </w:rPr>
        <w:t>não carregam dado pessoal</w:t>
      </w:r>
      <w:r>
        <w:rPr>
          <w:b w:val="0"/>
          <w:i w:val="0"/>
          <w:sz w:val="22"/>
        </w:rPr>
        <w:t xml:space="preserve"> (nome, CPF, e-mail) — só identificadores: menos dado circulando em log e em </w:t>
      </w:r>
      <w:r>
        <w:rPr>
          <w:b w:val="0"/>
          <w:i/>
          <w:sz w:val="22"/>
        </w:rPr>
        <w:t>trace</w:t>
      </w:r>
      <w:r>
        <w:rPr>
          <w:b w:val="0"/>
          <w:i w:val="0"/>
          <w:sz w:val="22"/>
        </w:rPr>
        <w:t xml:space="preserve"> (LGPD, seção 5.8).</w:t>
      </w:r>
    </w:p>
    <w:p>
      <w:pPr>
        <w:pStyle w:val="Heading3"/>
      </w:pPr>
      <w:r>
        <w:rPr>
          <w:b w:val="0"/>
          <w:i w:val="0"/>
          <w:sz w:val="22"/>
        </w:rPr>
        <w:t>5.3.2 Onde o token é validado: no API Gateway</w:t>
      </w:r>
    </w:p>
    <w:p>
      <w:r>
        <w:rPr>
          <w:b w:val="0"/>
          <w:i w:val="0"/>
          <w:sz w:val="22"/>
        </w:rPr>
        <w:t>Decisão explícita (</w:t>
      </w:r>
      <w:r>
        <w:rPr>
          <w:b/>
          <w:i w:val="0"/>
          <w:sz w:val="22"/>
        </w:rPr>
        <w:t>ADR-002</w:t>
      </w:r>
      <w:r>
        <w:rPr>
          <w:b w:val="0"/>
          <w:i w:val="0"/>
          <w:sz w:val="22"/>
        </w:rPr>
        <w:t xml:space="preserve">, seção 5.9.4): o </w:t>
      </w:r>
      <w:r>
        <w:rPr>
          <w:b/>
          <w:i w:val="0"/>
          <w:sz w:val="22"/>
        </w:rPr>
        <w:t>API Gateway</w:t>
      </w:r>
      <w:r>
        <w:rPr>
          <w:b w:val="0"/>
          <w:i w:val="0"/>
          <w:sz w:val="22"/>
        </w:rPr>
        <w:t xml:space="preserve"> valida assinatura (JWKS), expiração, emissor, público-alvo e escopo do token. Os microsserviços de negócio </w:t>
      </w:r>
      <w:r>
        <w:rPr>
          <w:b/>
          <w:i w:val="0"/>
          <w:sz w:val="22"/>
        </w:rPr>
        <w:t>confiam na identidade propagada</w:t>
      </w:r>
      <w:r>
        <w:rPr>
          <w:b w:val="0"/>
          <w:i w:val="0"/>
          <w:sz w:val="22"/>
        </w:rPr>
        <w:t xml:space="preserve"> e revalidam apenas o mínimo que lhes é próprio (por exemplo, o </w:t>
      </w:r>
      <w:r>
        <w:rPr>
          <w:rFonts w:ascii="Consolas" w:hAnsi="Consolas"/>
          <w:b w:val="0"/>
          <w:i w:val="0"/>
          <w:color w:val="8B1A3A"/>
          <w:sz w:val="21"/>
        </w:rPr>
        <w:t>ms-pagamentos</w:t>
      </w:r>
      <w:r>
        <w:rPr>
          <w:b w:val="0"/>
          <w:i w:val="0"/>
          <w:sz w:val="22"/>
        </w:rPr>
        <w:t xml:space="preserve"> revalida a assinatura mesmo tendo passado pelo gateway).</w:t>
      </w:r>
    </w:p>
    <w:p>
      <w:r>
        <w:rPr>
          <w:b w:val="0"/>
          <w:i w:val="0"/>
          <w:sz w:val="22"/>
        </w:rPr>
        <w:t xml:space="preserve">Justificativa (trade-off explícito): validar em todos os serviços é mais seguro e mais custoso — cada serviço passa a depender do Keycloak e a duplicar lógica de token. Centralizar no gateway elimina duplicação e ponto de falha nos serviços, mas exige que a comunicação interna seja fechada (o que é garantido por mTLS, seção 5.3.4). As duas coisas juntas: </w:t>
      </w:r>
      <w:r>
        <w:rPr>
          <w:b/>
          <w:i w:val="0"/>
          <w:sz w:val="22"/>
        </w:rPr>
        <w:t>validação central na borda + canal interno autenticado</w:t>
      </w:r>
      <w:r>
        <w:rPr>
          <w:b w:val="0"/>
          <w:i w:val="0"/>
          <w:sz w:val="22"/>
        </w:rPr>
        <w:t>.</w:t>
      </w:r>
    </w:p>
    <w:p>
      <w:pPr>
        <w:pStyle w:val="Heading3"/>
      </w:pPr>
      <w:r>
        <w:rPr>
          <w:b w:val="0"/>
          <w:i w:val="0"/>
          <w:sz w:val="22"/>
        </w:rPr>
        <w:t>5.3.3 Fluxos por tipo de cliente</w:t>
      </w:r>
    </w:p>
    <w:p>
      <w:pPr>
        <w:keepNext/>
        <w:spacing w:after="60" w:before="0"/>
        <w:jc w:val="left"/>
      </w:pPr>
      <w:r>
        <w:rPr>
          <w:b w:val="0"/>
          <w:i/>
          <w:color w:val="595959"/>
          <w:sz w:val="19"/>
        </w:rPr>
        <w:t>Tabela 16 — Fluxos OIDC por tipo de cliente</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2041"/>
            <w:shd w:val="clear" w:fill="F4E7EB"/>
          </w:tcPr>
          <w:p>
            <w:pPr>
              <w:spacing w:after="0"/>
              <w:jc w:val="left"/>
            </w:pPr>
            <w:r>
              <w:rPr>
                <w:b/>
              </w:rPr>
            </w:r>
            <w:r>
              <w:rPr>
                <w:b/>
                <w:i w:val="0"/>
                <w:sz w:val="19"/>
              </w:rPr>
              <w:t>Cliente</w:t>
            </w:r>
          </w:p>
        </w:tc>
        <w:tc>
          <w:tcPr>
            <w:tcW w:type="dxa" w:w="2494"/>
            <w:shd w:val="clear" w:fill="F4E7EB"/>
          </w:tcPr>
          <w:p>
            <w:pPr>
              <w:spacing w:after="0"/>
              <w:jc w:val="left"/>
            </w:pPr>
            <w:r>
              <w:rPr>
                <w:b/>
              </w:rPr>
            </w:r>
            <w:r>
              <w:rPr>
                <w:b/>
                <w:i w:val="0"/>
                <w:sz w:val="19"/>
              </w:rPr>
              <w:t>Fluxo OIDC</w:t>
            </w:r>
          </w:p>
        </w:tc>
        <w:tc>
          <w:tcPr>
            <w:tcW w:type="dxa" w:w="5102"/>
            <w:shd w:val="clear" w:fill="F4E7EB"/>
          </w:tcPr>
          <w:p>
            <w:pPr>
              <w:spacing w:after="0"/>
              <w:jc w:val="left"/>
            </w:pPr>
            <w:r>
              <w:rPr>
                <w:b/>
              </w:rPr>
            </w:r>
            <w:r>
              <w:rPr>
                <w:b/>
                <w:i w:val="0"/>
                <w:sz w:val="19"/>
              </w:rPr>
              <w:t>Observação</w:t>
            </w:r>
          </w:p>
        </w:tc>
      </w:tr>
      <w:tr>
        <w:tc>
          <w:tcPr>
            <w:tcW w:type="dxa" w:w="2041"/>
          </w:tcPr>
          <w:p>
            <w:pPr>
              <w:spacing w:after="0" w:line="240" w:lineRule="auto"/>
              <w:jc w:val="left"/>
            </w:pPr>
            <w:r/>
            <w:r>
              <w:rPr>
                <w:b w:val="0"/>
                <w:i w:val="0"/>
                <w:sz w:val="19"/>
              </w:rPr>
              <w:t>App mobile (Android)</w:t>
            </w:r>
          </w:p>
        </w:tc>
        <w:tc>
          <w:tcPr>
            <w:tcW w:type="dxa" w:w="2494"/>
          </w:tcPr>
          <w:p>
            <w:pPr>
              <w:spacing w:after="0" w:line="240" w:lineRule="auto"/>
              <w:jc w:val="left"/>
            </w:pPr>
            <w:r/>
            <w:r>
              <w:rPr>
                <w:b w:val="0"/>
                <w:i/>
                <w:sz w:val="19"/>
              </w:rPr>
              <w:t>Authorization Code</w:t>
            </w:r>
            <w:r>
              <w:rPr>
                <w:b w:val="0"/>
                <w:i w:val="0"/>
                <w:sz w:val="19"/>
              </w:rPr>
              <w:t xml:space="preserve"> + </w:t>
            </w:r>
            <w:r>
              <w:rPr>
                <w:b/>
                <w:i w:val="0"/>
                <w:sz w:val="19"/>
              </w:rPr>
              <w:t>PKCE</w:t>
            </w:r>
          </w:p>
        </w:tc>
        <w:tc>
          <w:tcPr>
            <w:tcW w:type="dxa" w:w="5102"/>
          </w:tcPr>
          <w:p>
            <w:pPr>
              <w:spacing w:after="0" w:line="240" w:lineRule="auto"/>
              <w:jc w:val="left"/>
            </w:pPr>
            <w:r/>
            <w:r>
              <w:rPr>
                <w:b w:val="0"/>
                <w:i w:val="0"/>
                <w:sz w:val="19"/>
              </w:rPr>
              <w:t xml:space="preserve">O app não guarda segredo de cliente; o refresh token vai para o </w:t>
            </w:r>
            <w:r>
              <w:rPr>
                <w:b/>
                <w:i w:val="0"/>
                <w:sz w:val="19"/>
              </w:rPr>
              <w:t>Android Keystore</w:t>
            </w:r>
            <w:r>
              <w:rPr>
                <w:b w:val="0"/>
                <w:i w:val="0"/>
                <w:sz w:val="19"/>
              </w:rPr>
              <w:t xml:space="preserve">, nunca em </w:t>
            </w:r>
            <w:r>
              <w:rPr>
                <w:rFonts w:ascii="Consolas" w:hAnsi="Consolas"/>
                <w:b w:val="0"/>
                <w:i w:val="0"/>
                <w:color w:val="8B1A3A"/>
                <w:sz w:val="18"/>
              </w:rPr>
              <w:t>SharedPreferences</w:t>
            </w:r>
            <w:r>
              <w:rPr>
                <w:b w:val="0"/>
                <w:i w:val="0"/>
                <w:sz w:val="19"/>
              </w:rPr>
              <w:t xml:space="preserve"> em texto claro</w:t>
            </w:r>
          </w:p>
        </w:tc>
      </w:tr>
      <w:tr>
        <w:tc>
          <w:tcPr>
            <w:tcW w:type="dxa" w:w="2041"/>
          </w:tcPr>
          <w:p>
            <w:pPr>
              <w:spacing w:after="0" w:line="240" w:lineRule="auto"/>
              <w:jc w:val="left"/>
            </w:pPr>
            <w:r/>
            <w:r>
              <w:rPr>
                <w:b w:val="0"/>
                <w:i w:val="0"/>
                <w:sz w:val="19"/>
              </w:rPr>
              <w:t>Web (JSP atual e novo front)</w:t>
            </w:r>
          </w:p>
        </w:tc>
        <w:tc>
          <w:tcPr>
            <w:tcW w:type="dxa" w:w="2494"/>
          </w:tcPr>
          <w:p>
            <w:pPr>
              <w:spacing w:after="0" w:line="240" w:lineRule="auto"/>
              <w:jc w:val="left"/>
            </w:pPr>
            <w:r/>
            <w:r>
              <w:rPr>
                <w:b w:val="0"/>
                <w:i/>
                <w:sz w:val="19"/>
              </w:rPr>
              <w:t>Authorization Code</w:t>
            </w:r>
            <w:r>
              <w:rPr>
                <w:b w:val="0"/>
                <w:i w:val="0"/>
                <w:sz w:val="19"/>
              </w:rPr>
              <w:t xml:space="preserve"> + cookie </w:t>
            </w:r>
            <w:r>
              <w:rPr>
                <w:rFonts w:ascii="Consolas" w:hAnsi="Consolas"/>
                <w:b w:val="0"/>
                <w:i w:val="0"/>
                <w:color w:val="8B1A3A"/>
                <w:sz w:val="18"/>
              </w:rPr>
              <w:t>HttpOnly</w:t>
            </w:r>
            <w:r>
              <w:rPr>
                <w:b w:val="0"/>
                <w:i w:val="0"/>
                <w:sz w:val="19"/>
              </w:rPr>
              <w:t xml:space="preserve">, </w:t>
            </w:r>
            <w:r>
              <w:rPr>
                <w:rFonts w:ascii="Consolas" w:hAnsi="Consolas"/>
                <w:b w:val="0"/>
                <w:i w:val="0"/>
                <w:color w:val="8B1A3A"/>
                <w:sz w:val="18"/>
              </w:rPr>
              <w:t>Secure</w:t>
            </w:r>
            <w:r>
              <w:rPr>
                <w:b w:val="0"/>
                <w:i w:val="0"/>
                <w:sz w:val="19"/>
              </w:rPr>
              <w:t xml:space="preserve">, </w:t>
            </w:r>
            <w:r>
              <w:rPr>
                <w:rFonts w:ascii="Consolas" w:hAnsi="Consolas"/>
                <w:b w:val="0"/>
                <w:i w:val="0"/>
                <w:color w:val="8B1A3A"/>
                <w:sz w:val="18"/>
              </w:rPr>
              <w:t>SameSite=Lax</w:t>
            </w:r>
          </w:p>
        </w:tc>
        <w:tc>
          <w:tcPr>
            <w:tcW w:type="dxa" w:w="5102"/>
          </w:tcPr>
          <w:p>
            <w:pPr>
              <w:spacing w:after="0" w:line="240" w:lineRule="auto"/>
              <w:jc w:val="left"/>
            </w:pPr>
            <w:r/>
            <w:r>
              <w:rPr>
                <w:b w:val="0"/>
                <w:i w:val="0"/>
                <w:sz w:val="19"/>
              </w:rPr>
              <w:t xml:space="preserve">Estado anti-CSRF obrigatório no </w:t>
            </w:r>
            <w:r>
              <w:rPr>
                <w:b w:val="0"/>
                <w:i/>
                <w:sz w:val="19"/>
              </w:rPr>
              <w:t>callback</w:t>
            </w:r>
            <w:r>
              <w:rPr>
                <w:b w:val="0"/>
                <w:i w:val="0"/>
                <w:sz w:val="19"/>
              </w:rPr>
              <w:t>; sessão deixa de ser o mecanismo de identidade</w:t>
            </w:r>
          </w:p>
        </w:tc>
      </w:tr>
      <w:tr>
        <w:tc>
          <w:tcPr>
            <w:tcW w:type="dxa" w:w="2041"/>
          </w:tcPr>
          <w:p>
            <w:pPr>
              <w:spacing w:after="0" w:line="240" w:lineRule="auto"/>
              <w:jc w:val="left"/>
            </w:pPr>
            <w:r/>
            <w:r>
              <w:rPr>
                <w:b w:val="0"/>
                <w:i w:val="0"/>
                <w:sz w:val="19"/>
              </w:rPr>
              <w:t>Painel interno da adega / back-office</w:t>
            </w:r>
          </w:p>
        </w:tc>
        <w:tc>
          <w:tcPr>
            <w:tcW w:type="dxa" w:w="2494"/>
          </w:tcPr>
          <w:p>
            <w:pPr>
              <w:spacing w:after="0" w:line="240" w:lineRule="auto"/>
              <w:jc w:val="left"/>
            </w:pPr>
            <w:r/>
            <w:r>
              <w:rPr>
                <w:b w:val="0"/>
                <w:i/>
                <w:sz w:val="19"/>
              </w:rPr>
              <w:t>Authorization Code</w:t>
            </w:r>
            <w:r>
              <w:rPr>
                <w:b w:val="0"/>
                <w:i w:val="0"/>
                <w:sz w:val="19"/>
              </w:rPr>
              <w:t xml:space="preserve"> + segundo fator (TOTP) obrigatório para papéis </w:t>
            </w:r>
            <w:r>
              <w:rPr>
                <w:rFonts w:ascii="Consolas" w:hAnsi="Consolas"/>
                <w:b w:val="0"/>
                <w:i w:val="0"/>
                <w:color w:val="8B1A3A"/>
                <w:sz w:val="18"/>
              </w:rPr>
              <w:t>admin</w:t>
            </w:r>
            <w:r>
              <w:rPr>
                <w:b w:val="0"/>
                <w:i w:val="0"/>
                <w:sz w:val="19"/>
              </w:rPr>
              <w:t xml:space="preserve">, </w:t>
            </w:r>
            <w:r>
              <w:rPr>
                <w:rFonts w:ascii="Consolas" w:hAnsi="Consolas"/>
                <w:b w:val="0"/>
                <w:i w:val="0"/>
                <w:color w:val="8B1A3A"/>
                <w:sz w:val="18"/>
              </w:rPr>
              <w:t>gestor-adega</w:t>
            </w:r>
            <w:r>
              <w:rPr>
                <w:b w:val="0"/>
                <w:i w:val="0"/>
                <w:sz w:val="19"/>
              </w:rPr>
              <w:t xml:space="preserve"> e </w:t>
            </w:r>
            <w:r>
              <w:rPr>
                <w:rFonts w:ascii="Consolas" w:hAnsi="Consolas"/>
                <w:b w:val="0"/>
                <w:i w:val="0"/>
                <w:color w:val="8B1A3A"/>
                <w:sz w:val="18"/>
              </w:rPr>
              <w:t>enologo</w:t>
            </w:r>
          </w:p>
        </w:tc>
        <w:tc>
          <w:tcPr>
            <w:tcW w:type="dxa" w:w="5102"/>
          </w:tcPr>
          <w:p>
            <w:pPr>
              <w:spacing w:after="0" w:line="240" w:lineRule="auto"/>
              <w:jc w:val="left"/>
            </w:pPr>
            <w:r/>
            <w:r>
              <w:rPr>
                <w:b w:val="0"/>
                <w:i w:val="0"/>
                <w:sz w:val="19"/>
              </w:rPr>
              <w:t>Ação irreversível (baixa de estoque, laudo) exige 2FA</w:t>
            </w:r>
          </w:p>
        </w:tc>
      </w:tr>
      <w:tr>
        <w:tc>
          <w:tcPr>
            <w:tcW w:type="dxa" w:w="2041"/>
          </w:tcPr>
          <w:p>
            <w:pPr>
              <w:spacing w:after="0" w:line="240" w:lineRule="auto"/>
              <w:jc w:val="left"/>
            </w:pPr>
            <w:r/>
            <w:r>
              <w:rPr>
                <w:b w:val="0"/>
                <w:i w:val="0"/>
                <w:sz w:val="19"/>
              </w:rPr>
              <w:t>Serviço → serviço</w:t>
            </w:r>
          </w:p>
        </w:tc>
        <w:tc>
          <w:tcPr>
            <w:tcW w:type="dxa" w:w="2494"/>
          </w:tcPr>
          <w:p>
            <w:pPr>
              <w:spacing w:after="0" w:line="240" w:lineRule="auto"/>
              <w:jc w:val="left"/>
            </w:pPr>
            <w:r/>
            <w:r>
              <w:rPr>
                <w:b w:val="0"/>
                <w:i/>
                <w:sz w:val="19"/>
              </w:rPr>
              <w:t>Client Credentials</w:t>
            </w:r>
            <w:r>
              <w:rPr>
                <w:b w:val="0"/>
                <w:i w:val="0"/>
                <w:sz w:val="19"/>
              </w:rPr>
              <w:t xml:space="preserve"> (token de serviço de vida curta) </w:t>
            </w:r>
            <w:r>
              <w:rPr>
                <w:b/>
                <w:i w:val="0"/>
                <w:sz w:val="19"/>
              </w:rPr>
              <w:t>+ mTLS</w:t>
            </w:r>
          </w:p>
        </w:tc>
        <w:tc>
          <w:tcPr>
            <w:tcW w:type="dxa" w:w="5102"/>
          </w:tcPr>
          <w:p>
            <w:pPr>
              <w:spacing w:after="0" w:line="240" w:lineRule="auto"/>
              <w:jc w:val="left"/>
            </w:pPr>
            <w:r/>
            <w:r>
              <w:rPr>
                <w:b w:val="0"/>
                <w:i w:val="0"/>
                <w:sz w:val="19"/>
              </w:rPr>
              <w:t>Cada serviço tem sua própria identidade; não existe "rede interna confiável"</w:t>
            </w:r>
          </w:p>
        </w:tc>
      </w:tr>
      <w:tr>
        <w:tc>
          <w:tcPr>
            <w:tcW w:type="dxa" w:w="2041"/>
          </w:tcPr>
          <w:p>
            <w:pPr>
              <w:spacing w:after="0" w:line="240" w:lineRule="auto"/>
              <w:jc w:val="left"/>
            </w:pPr>
            <w:r/>
            <w:r>
              <w:rPr>
                <w:b w:val="0"/>
                <w:i w:val="0"/>
                <w:sz w:val="19"/>
              </w:rPr>
              <w:t>Rastreio público do lote (QR)</w:t>
            </w:r>
          </w:p>
        </w:tc>
        <w:tc>
          <w:tcPr>
            <w:tcW w:type="dxa" w:w="2494"/>
          </w:tcPr>
          <w:p>
            <w:pPr>
              <w:spacing w:after="0" w:line="240" w:lineRule="auto"/>
              <w:jc w:val="left"/>
            </w:pPr>
            <w:r/>
            <w:r>
              <w:rPr>
                <w:b w:val="0"/>
                <w:i/>
                <w:sz w:val="19"/>
              </w:rPr>
              <w:t>endpoint</w:t>
            </w:r>
            <w:r>
              <w:rPr>
                <w:b w:val="0"/>
                <w:i w:val="0"/>
                <w:sz w:val="19"/>
              </w:rPr>
              <w:t xml:space="preserve"> público, </w:t>
            </w:r>
            <w:r>
              <w:rPr>
                <w:b/>
                <w:i w:val="0"/>
                <w:sz w:val="19"/>
              </w:rPr>
              <w:t>sem token</w:t>
            </w:r>
            <w:r>
              <w:rPr>
                <w:b w:val="0"/>
                <w:i w:val="0"/>
                <w:sz w:val="19"/>
              </w:rPr>
              <w:t>, com resposta mínima (lote, safra, origem)</w:t>
            </w:r>
          </w:p>
        </w:tc>
        <w:tc>
          <w:tcPr>
            <w:tcW w:type="dxa" w:w="5102"/>
          </w:tcPr>
          <w:p>
            <w:pPr>
              <w:spacing w:after="0" w:line="240" w:lineRule="auto"/>
              <w:jc w:val="left"/>
            </w:pPr>
            <w:r/>
            <w:r>
              <w:rPr>
                <w:b w:val="0"/>
                <w:i w:val="0"/>
                <w:sz w:val="19"/>
              </w:rPr>
              <w:t>Informação pública por definição; nenhum dado pessoal</w:t>
            </w:r>
          </w:p>
        </w:tc>
      </w:tr>
    </w:tbl>
    <w:p>
      <w:pPr>
        <w:pStyle w:val="Heading3"/>
      </w:pPr>
      <w:r>
        <w:rPr>
          <w:b w:val="0"/>
          <w:i w:val="0"/>
          <w:sz w:val="22"/>
        </w:rPr>
        <w:t>5.3.4 Comunicação entre serviços</w:t>
      </w:r>
    </w:p>
    <w:p>
      <w:pPr>
        <w:pStyle w:val="ListBullet"/>
      </w:pPr>
      <w:r>
        <w:rPr>
          <w:b/>
          <w:i w:val="0"/>
          <w:sz w:val="22"/>
        </w:rPr>
        <w:t>mTLS</w:t>
      </w:r>
      <w:r>
        <w:rPr>
          <w:b w:val="0"/>
          <w:i w:val="0"/>
          <w:sz w:val="22"/>
        </w:rPr>
        <w:t xml:space="preserve"> entre serviços e para o gateway (certificados curtos, rotação automática via </w:t>
      </w:r>
      <w:r>
        <w:rPr>
          <w:b w:val="0"/>
          <w:i/>
          <w:sz w:val="22"/>
        </w:rPr>
        <w:t>service mesh</w:t>
      </w:r>
      <w:r>
        <w:rPr>
          <w:b w:val="0"/>
          <w:i w:val="0"/>
          <w:sz w:val="22"/>
        </w:rPr>
        <w:t xml:space="preserve">): garante canal cifrado </w:t>
      </w:r>
      <w:r>
        <w:rPr>
          <w:b/>
          <w:i w:val="0"/>
          <w:sz w:val="22"/>
        </w:rPr>
        <w:t>e</w:t>
      </w:r>
      <w:r>
        <w:rPr>
          <w:b w:val="0"/>
          <w:i w:val="0"/>
          <w:sz w:val="22"/>
        </w:rPr>
        <w:t xml:space="preserve"> identidade mútua — não basta cifrar e assumir que o emissor é quem diz ser.</w:t>
      </w:r>
    </w:p>
    <w:p>
      <w:pPr>
        <w:pStyle w:val="ListBullet"/>
      </w:pPr>
      <w:r>
        <w:rPr>
          <w:b w:val="0"/>
          <w:i w:val="0"/>
          <w:sz w:val="22"/>
        </w:rPr>
        <w:t xml:space="preserve">Autorização entre serviços por </w:t>
      </w:r>
      <w:r>
        <w:rPr>
          <w:b/>
          <w:i w:val="0"/>
          <w:sz w:val="22"/>
        </w:rPr>
        <w:t>escopo do token de serviço</w:t>
      </w:r>
      <w:r>
        <w:rPr>
          <w:b w:val="0"/>
          <w:i w:val="0"/>
          <w:sz w:val="22"/>
        </w:rPr>
        <w:t xml:space="preserve"> (ex.: só o </w:t>
      </w:r>
      <w:r>
        <w:rPr>
          <w:rFonts w:ascii="Consolas" w:hAnsi="Consolas"/>
          <w:b w:val="0"/>
          <w:i w:val="0"/>
          <w:color w:val="8B1A3A"/>
          <w:sz w:val="21"/>
        </w:rPr>
        <w:t>ms-pedidos</w:t>
      </w:r>
      <w:r>
        <w:rPr>
          <w:b w:val="0"/>
          <w:i w:val="0"/>
          <w:sz w:val="22"/>
        </w:rPr>
        <w:t xml:space="preserve"> tem o escopo </w:t>
      </w:r>
      <w:r>
        <w:rPr>
          <w:rFonts w:ascii="Consolas" w:hAnsi="Consolas"/>
          <w:b w:val="0"/>
          <w:i w:val="0"/>
          <w:color w:val="8B1A3A"/>
          <w:sz w:val="21"/>
        </w:rPr>
        <w:t>estoque:reservar</w:t>
      </w:r>
      <w:r>
        <w:rPr>
          <w:b w:val="0"/>
          <w:i w:val="0"/>
          <w:sz w:val="22"/>
        </w:rPr>
        <w:t xml:space="preserve">; só o </w:t>
      </w:r>
      <w:r>
        <w:rPr>
          <w:rFonts w:ascii="Consolas" w:hAnsi="Consolas"/>
          <w:b w:val="0"/>
          <w:i w:val="0"/>
          <w:color w:val="8B1A3A"/>
          <w:sz w:val="21"/>
        </w:rPr>
        <w:t>ms-qualidade</w:t>
      </w:r>
      <w:r>
        <w:rPr>
          <w:b w:val="0"/>
          <w:i w:val="0"/>
          <w:sz w:val="22"/>
        </w:rPr>
        <w:t xml:space="preserve"> tem </w:t>
      </w:r>
      <w:r>
        <w:rPr>
          <w:rFonts w:ascii="Consolas" w:hAnsi="Consolas"/>
          <w:b w:val="0"/>
          <w:i w:val="0"/>
          <w:color w:val="8B1A3A"/>
          <w:sz w:val="21"/>
        </w:rPr>
        <w:t>notificacao:disparar</w:t>
      </w:r>
      <w:r>
        <w:rPr>
          <w:b w:val="0"/>
          <w:i w:val="0"/>
          <w:sz w:val="22"/>
        </w:rPr>
        <w:t>).</w:t>
      </w:r>
    </w:p>
    <w:p>
      <w:pPr>
        <w:pStyle w:val="ListBullet"/>
      </w:pPr>
      <w:r>
        <w:rPr>
          <w:b/>
          <w:i w:val="0"/>
          <w:sz w:val="22"/>
        </w:rPr>
        <w:t>Broker MQTT/IoT com identidade por dispositivo</w:t>
      </w:r>
      <w:r>
        <w:rPr>
          <w:b w:val="0"/>
          <w:i w:val="0"/>
          <w:sz w:val="22"/>
        </w:rPr>
        <w:t xml:space="preserve"> (corrige o modelo atual de credencial compartilhada): cada adega tem usuário próprio no broker (</w:t>
      </w:r>
      <w:r>
        <w:rPr>
          <w:rFonts w:ascii="Consolas" w:hAnsi="Consolas"/>
          <w:b w:val="0"/>
          <w:i w:val="0"/>
          <w:color w:val="8B1A3A"/>
          <w:sz w:val="21"/>
        </w:rPr>
        <w:t>adega-&lt;id&gt;</w:t>
      </w:r>
      <w:r>
        <w:rPr>
          <w:b w:val="0"/>
          <w:i w:val="0"/>
          <w:sz w:val="22"/>
        </w:rPr>
        <w:t xml:space="preserve">), com </w:t>
      </w:r>
      <w:r>
        <w:rPr>
          <w:b/>
          <w:i w:val="0"/>
          <w:sz w:val="22"/>
        </w:rPr>
        <w:t>ACL restrita a publicar</w:t>
      </w:r>
      <w:r>
        <w:rPr>
          <w:b w:val="0"/>
          <w:i w:val="0"/>
          <w:sz w:val="22"/>
        </w:rPr>
        <w:t xml:space="preserve"> somente no seu tópico de telemetria — o dispositivo não pode assinar o próprio </w:t>
      </w:r>
      <w:r>
        <w:rPr>
          <w:b w:val="0"/>
          <w:i/>
          <w:sz w:val="22"/>
        </w:rPr>
        <w:t>namespace</w:t>
      </w:r>
      <w:r>
        <w:rPr>
          <w:b w:val="0"/>
          <w:i w:val="0"/>
          <w:sz w:val="22"/>
        </w:rPr>
        <w:t xml:space="preserve"> de comandos nem publicar no tópico de outro dispositivo. A ponte Node-RED legada publica no tópico físico atual (</w:t>
      </w:r>
      <w:r>
        <w:rPr>
          <w:rFonts w:ascii="Consolas" w:hAnsi="Consolas"/>
          <w:b w:val="0"/>
          <w:i w:val="0"/>
          <w:color w:val="8B1A3A"/>
          <w:sz w:val="21"/>
        </w:rPr>
        <w:t>Fiap/iot/3ESOA/CodeSquad/sensor</w:t>
      </w:r>
      <w:r>
        <w:rPr>
          <w:b w:val="0"/>
          <w:i w:val="0"/>
          <w:sz w:val="22"/>
        </w:rPr>
        <w:t xml:space="preserve">); na migração (Strangler Fig), um </w:t>
      </w:r>
      <w:r>
        <w:rPr>
          <w:b w:val="0"/>
          <w:i/>
          <w:sz w:val="22"/>
        </w:rPr>
        <w:t>bridge</w:t>
      </w:r>
      <w:r>
        <w:rPr>
          <w:b w:val="0"/>
          <w:i w:val="0"/>
          <w:sz w:val="22"/>
        </w:rPr>
        <w:t xml:space="preserve"> mapeia esse tópico para </w:t>
      </w:r>
      <w:r>
        <w:rPr>
          <w:rFonts w:ascii="Consolas" w:hAnsi="Consolas"/>
          <w:b w:val="0"/>
          <w:i w:val="0"/>
          <w:color w:val="8B1A3A"/>
          <w:sz w:val="21"/>
        </w:rPr>
        <w:t>qualidade.leitura</w:t>
      </w:r>
      <w:r>
        <w:rPr>
          <w:b w:val="0"/>
          <w:i w:val="0"/>
          <w:sz w:val="22"/>
        </w:rPr>
        <w:t xml:space="preserve"> </w:t>
      </w:r>
      <w:r>
        <w:rPr>
          <w:b/>
          <w:i w:val="0"/>
          <w:sz w:val="22"/>
        </w:rPr>
        <w:t>sem exigir recompilar o firmware</w:t>
      </w:r>
      <w:r>
        <w:rPr>
          <w:b w:val="0"/>
          <w:i w:val="0"/>
          <w:sz w:val="22"/>
        </w:rPr>
        <w:t xml:space="preserve"> — o dispositivo não muda, a política muda na borda.</w:t>
      </w:r>
    </w:p>
    <w:p>
      <w:pPr>
        <w:pStyle w:val="Heading3"/>
      </w:pPr>
      <w:r>
        <w:rPr>
          <w:b w:val="0"/>
          <w:i w:val="0"/>
          <w:sz w:val="22"/>
        </w:rPr>
        <w:t>5.3.5 Boas práticas de API aplicadas</w:t>
      </w:r>
    </w:p>
    <w:p>
      <w:pPr>
        <w:keepNext/>
        <w:spacing w:after="60" w:before="0"/>
        <w:jc w:val="left"/>
      </w:pPr>
      <w:r>
        <w:rPr>
          <w:b w:val="0"/>
          <w:i/>
          <w:color w:val="595959"/>
          <w:sz w:val="19"/>
        </w:rPr>
        <w:t>Tabela 17 — Boas práticas de API aplicadas</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1928"/>
            <w:shd w:val="clear" w:fill="F4E7EB"/>
          </w:tcPr>
          <w:p>
            <w:pPr>
              <w:spacing w:after="0"/>
              <w:jc w:val="left"/>
            </w:pPr>
            <w:r>
              <w:rPr>
                <w:b/>
              </w:rPr>
            </w:r>
            <w:r>
              <w:rPr>
                <w:b/>
                <w:i w:val="0"/>
                <w:sz w:val="19"/>
              </w:rPr>
              <w:t>Prática</w:t>
            </w:r>
          </w:p>
        </w:tc>
        <w:tc>
          <w:tcPr>
            <w:tcW w:type="dxa" w:w="4535"/>
            <w:shd w:val="clear" w:fill="F4E7EB"/>
          </w:tcPr>
          <w:p>
            <w:pPr>
              <w:spacing w:after="0"/>
              <w:jc w:val="left"/>
            </w:pPr>
            <w:r>
              <w:rPr>
                <w:b/>
              </w:rPr>
            </w:r>
            <w:r>
              <w:rPr>
                <w:b/>
                <w:i w:val="0"/>
                <w:sz w:val="19"/>
              </w:rPr>
              <w:t>Como é aplicada</w:t>
            </w:r>
          </w:p>
        </w:tc>
        <w:tc>
          <w:tcPr>
            <w:tcW w:type="dxa" w:w="3175"/>
            <w:shd w:val="clear" w:fill="F4E7EB"/>
          </w:tcPr>
          <w:p>
            <w:pPr>
              <w:spacing w:after="0"/>
              <w:jc w:val="left"/>
            </w:pPr>
            <w:r>
              <w:rPr>
                <w:b/>
              </w:rPr>
            </w:r>
            <w:r>
              <w:rPr>
                <w:b/>
                <w:i w:val="0"/>
                <w:sz w:val="19"/>
              </w:rPr>
              <w:t>Por quê</w:t>
            </w:r>
          </w:p>
        </w:tc>
      </w:tr>
      <w:tr>
        <w:tc>
          <w:tcPr>
            <w:tcW w:type="dxa" w:w="1928"/>
          </w:tcPr>
          <w:p>
            <w:pPr>
              <w:spacing w:after="0" w:line="240" w:lineRule="auto"/>
              <w:jc w:val="left"/>
            </w:pPr>
            <w:r/>
            <w:r>
              <w:rPr>
                <w:b w:val="0"/>
                <w:i w:val="0"/>
                <w:sz w:val="19"/>
              </w:rPr>
              <w:t>Rate limiting e quotas</w:t>
            </w:r>
          </w:p>
        </w:tc>
        <w:tc>
          <w:tcPr>
            <w:tcW w:type="dxa" w:w="4535"/>
          </w:tcPr>
          <w:p>
            <w:pPr>
              <w:spacing w:after="0" w:line="240" w:lineRule="auto"/>
              <w:jc w:val="left"/>
            </w:pPr>
            <w:r/>
            <w:r>
              <w:rPr>
                <w:b w:val="0"/>
                <w:i w:val="0"/>
                <w:sz w:val="19"/>
              </w:rPr>
              <w:t xml:space="preserve">No gateway, por </w:t>
            </w:r>
            <w:r>
              <w:rPr>
                <w:rFonts w:ascii="Consolas" w:hAnsi="Consolas"/>
                <w:b w:val="0"/>
                <w:i w:val="0"/>
                <w:color w:val="8B1A3A"/>
                <w:sz w:val="18"/>
              </w:rPr>
              <w:t>sub</w:t>
            </w:r>
            <w:r>
              <w:rPr>
                <w:b w:val="0"/>
                <w:i w:val="0"/>
                <w:sz w:val="19"/>
              </w:rPr>
              <w:t xml:space="preserve"> + por serviço: 60 req/min por usuário, 600 req/min por cliente de serviço; </w:t>
            </w:r>
            <w:r>
              <w:rPr>
                <w:b w:val="0"/>
                <w:i/>
                <w:sz w:val="19"/>
              </w:rPr>
              <w:t>burst</w:t>
            </w:r>
            <w:r>
              <w:rPr>
                <w:b w:val="0"/>
                <w:i w:val="0"/>
                <w:sz w:val="19"/>
              </w:rPr>
              <w:t xml:space="preserve"> com </w:t>
            </w:r>
            <w:r>
              <w:rPr>
                <w:b w:val="0"/>
                <w:i/>
                <w:sz w:val="19"/>
              </w:rPr>
              <w:t>token bucket</w:t>
            </w:r>
          </w:p>
        </w:tc>
        <w:tc>
          <w:tcPr>
            <w:tcW w:type="dxa" w:w="3175"/>
          </w:tcPr>
          <w:p>
            <w:pPr>
              <w:spacing w:after="0" w:line="240" w:lineRule="auto"/>
              <w:jc w:val="left"/>
            </w:pPr>
            <w:r/>
            <w:r>
              <w:rPr>
                <w:b w:val="0"/>
                <w:i w:val="0"/>
                <w:sz w:val="19"/>
              </w:rPr>
              <w:t>Protege contra abuso, varredura de catálogo e negação de serviço com credencial válida</w:t>
            </w:r>
          </w:p>
        </w:tc>
      </w:tr>
      <w:tr>
        <w:tc>
          <w:tcPr>
            <w:tcW w:type="dxa" w:w="1928"/>
          </w:tcPr>
          <w:p>
            <w:pPr>
              <w:spacing w:after="0" w:line="240" w:lineRule="auto"/>
              <w:jc w:val="left"/>
            </w:pPr>
            <w:r/>
            <w:r>
              <w:rPr>
                <w:b w:val="0"/>
                <w:i w:val="0"/>
                <w:sz w:val="19"/>
              </w:rPr>
              <w:t>Validação de entrada contra o contrato</w:t>
            </w:r>
          </w:p>
        </w:tc>
        <w:tc>
          <w:tcPr>
            <w:tcW w:type="dxa" w:w="4535"/>
          </w:tcPr>
          <w:p>
            <w:pPr>
              <w:spacing w:after="0" w:line="240" w:lineRule="auto"/>
              <w:jc w:val="left"/>
            </w:pPr>
            <w:r/>
            <w:r>
              <w:rPr>
                <w:b w:val="0"/>
                <w:i w:val="0"/>
                <w:sz w:val="19"/>
              </w:rPr>
              <w:t xml:space="preserve">Todo payload validado contra o </w:t>
            </w:r>
            <w:r>
              <w:rPr>
                <w:b/>
                <w:i w:val="0"/>
                <w:sz w:val="19"/>
              </w:rPr>
              <w:t>OpenAPI</w:t>
            </w:r>
            <w:r>
              <w:rPr>
                <w:b w:val="0"/>
                <w:i w:val="0"/>
                <w:sz w:val="19"/>
              </w:rPr>
              <w:t xml:space="preserve"> de cada serviço; rejeitar campo desconhecido em escrita</w:t>
            </w:r>
          </w:p>
        </w:tc>
        <w:tc>
          <w:tcPr>
            <w:tcW w:type="dxa" w:w="3175"/>
          </w:tcPr>
          <w:p>
            <w:pPr>
              <w:spacing w:after="0" w:line="240" w:lineRule="auto"/>
              <w:jc w:val="left"/>
            </w:pPr>
            <w:r/>
            <w:r>
              <w:rPr>
                <w:b w:val="0"/>
                <w:i w:val="0"/>
                <w:sz w:val="19"/>
              </w:rPr>
              <w:t xml:space="preserve">Impede </w:t>
            </w:r>
            <w:r>
              <w:rPr>
                <w:b w:val="0"/>
                <w:i/>
                <w:sz w:val="19"/>
              </w:rPr>
              <w:t>mass assignment</w:t>
            </w:r>
            <w:r>
              <w:rPr>
                <w:b w:val="0"/>
                <w:i w:val="0"/>
                <w:sz w:val="19"/>
              </w:rPr>
              <w:t xml:space="preserve"> (o clássico "cliente manda </w:t>
            </w:r>
            <w:r>
              <w:rPr>
                <w:rFonts w:ascii="Consolas" w:hAnsi="Consolas"/>
                <w:b w:val="0"/>
                <w:i w:val="0"/>
                <w:color w:val="8B1A3A"/>
                <w:sz w:val="18"/>
              </w:rPr>
              <w:t>status</w:t>
            </w:r>
            <w:r>
              <w:rPr>
                <w:b w:val="0"/>
                <w:i w:val="0"/>
                <w:sz w:val="19"/>
              </w:rPr>
              <w:t xml:space="preserve"> e </w:t>
            </w:r>
            <w:r>
              <w:rPr>
                <w:rFonts w:ascii="Consolas" w:hAnsi="Consolas"/>
                <w:b w:val="0"/>
                <w:i w:val="0"/>
                <w:color w:val="8B1A3A"/>
                <w:sz w:val="18"/>
              </w:rPr>
              <w:t>preco</w:t>
            </w:r>
            <w:r>
              <w:rPr>
                <w:b w:val="0"/>
                <w:i w:val="0"/>
                <w:sz w:val="19"/>
              </w:rPr>
              <w:t xml:space="preserve"> no corpo do pedido")</w:t>
            </w:r>
          </w:p>
        </w:tc>
      </w:tr>
      <w:tr>
        <w:tc>
          <w:tcPr>
            <w:tcW w:type="dxa" w:w="1928"/>
          </w:tcPr>
          <w:p>
            <w:pPr>
              <w:spacing w:after="0" w:line="240" w:lineRule="auto"/>
              <w:jc w:val="left"/>
            </w:pPr>
            <w:r/>
            <w:r>
              <w:rPr>
                <w:b w:val="0"/>
                <w:i w:val="0"/>
                <w:sz w:val="19"/>
              </w:rPr>
              <w:t>Idempotência</w:t>
            </w:r>
          </w:p>
        </w:tc>
        <w:tc>
          <w:tcPr>
            <w:tcW w:type="dxa" w:w="4535"/>
          </w:tcPr>
          <w:p>
            <w:pPr>
              <w:spacing w:after="0" w:line="240" w:lineRule="auto"/>
              <w:jc w:val="left"/>
            </w:pPr>
            <w:r/>
            <w:r>
              <w:rPr>
                <w:rFonts w:ascii="Consolas" w:hAnsi="Consolas"/>
                <w:b w:val="0"/>
                <w:i w:val="0"/>
                <w:color w:val="8B1A3A"/>
                <w:sz w:val="18"/>
              </w:rPr>
              <w:t>Idempotency-Key</w:t>
            </w:r>
            <w:r>
              <w:rPr>
                <w:b w:val="0"/>
                <w:i w:val="0"/>
                <w:sz w:val="19"/>
              </w:rPr>
              <w:t xml:space="preserve"> obrigatório em </w:t>
            </w:r>
            <w:r>
              <w:rPr>
                <w:rFonts w:ascii="Consolas" w:hAnsi="Consolas"/>
                <w:b w:val="0"/>
                <w:i w:val="0"/>
                <w:color w:val="8B1A3A"/>
                <w:sz w:val="18"/>
              </w:rPr>
              <w:t>POST</w:t>
            </w:r>
            <w:r>
              <w:rPr>
                <w:b w:val="0"/>
                <w:i w:val="0"/>
                <w:sz w:val="19"/>
              </w:rPr>
              <w:t xml:space="preserve"> de pedido, pagamento e movimentação de estoque; chave guardada 24 h com o resultado</w:t>
            </w:r>
          </w:p>
        </w:tc>
        <w:tc>
          <w:tcPr>
            <w:tcW w:type="dxa" w:w="3175"/>
          </w:tcPr>
          <w:p>
            <w:pPr>
              <w:spacing w:after="0" w:line="240" w:lineRule="auto"/>
              <w:jc w:val="left"/>
            </w:pPr>
            <w:r/>
            <w:r>
              <w:rPr>
                <w:b w:val="0"/>
                <w:i w:val="0"/>
                <w:sz w:val="19"/>
              </w:rPr>
              <w:t>Retry de rede e clique duplo não podem virar dois pedidos nem dois débitos</w:t>
            </w:r>
          </w:p>
        </w:tc>
      </w:tr>
      <w:tr>
        <w:tc>
          <w:tcPr>
            <w:tcW w:type="dxa" w:w="1928"/>
          </w:tcPr>
          <w:p>
            <w:pPr>
              <w:spacing w:after="0" w:line="240" w:lineRule="auto"/>
              <w:jc w:val="left"/>
            </w:pPr>
            <w:r/>
            <w:r>
              <w:rPr>
                <w:b w:val="0"/>
                <w:i w:val="0"/>
                <w:sz w:val="19"/>
              </w:rPr>
              <w:t>Limite de tamanho e paginação</w:t>
            </w:r>
          </w:p>
        </w:tc>
        <w:tc>
          <w:tcPr>
            <w:tcW w:type="dxa" w:w="4535"/>
          </w:tcPr>
          <w:p>
            <w:pPr>
              <w:spacing w:after="0" w:line="240" w:lineRule="auto"/>
              <w:jc w:val="left"/>
            </w:pPr>
            <w:r/>
            <w:r>
              <w:rPr>
                <w:b w:val="0"/>
                <w:i w:val="0"/>
                <w:sz w:val="19"/>
              </w:rPr>
              <w:t xml:space="preserve">Corpo ≤ 1 MB; </w:t>
            </w:r>
            <w:r>
              <w:rPr>
                <w:rFonts w:ascii="Consolas" w:hAnsi="Consolas"/>
                <w:b w:val="0"/>
                <w:i w:val="0"/>
                <w:color w:val="8B1A3A"/>
                <w:sz w:val="18"/>
              </w:rPr>
              <w:t>limit</w:t>
            </w:r>
            <w:r>
              <w:rPr>
                <w:b w:val="0"/>
                <w:i w:val="0"/>
                <w:sz w:val="19"/>
              </w:rPr>
              <w:t xml:space="preserve"> obrigatório com teto de 100 itens</w:t>
            </w:r>
          </w:p>
        </w:tc>
        <w:tc>
          <w:tcPr>
            <w:tcW w:type="dxa" w:w="3175"/>
          </w:tcPr>
          <w:p>
            <w:pPr>
              <w:spacing w:after="0" w:line="240" w:lineRule="auto"/>
              <w:jc w:val="left"/>
            </w:pPr>
            <w:r/>
            <w:r>
              <w:rPr>
                <w:b w:val="0"/>
                <w:i w:val="0"/>
                <w:sz w:val="19"/>
              </w:rPr>
              <w:t>Evita consulta que derruba o serviço (</w:t>
            </w:r>
            <w:r>
              <w:rPr>
                <w:rFonts w:ascii="Consolas" w:hAnsi="Consolas"/>
                <w:b w:val="0"/>
                <w:i w:val="0"/>
                <w:color w:val="8B1A3A"/>
                <w:sz w:val="18"/>
              </w:rPr>
              <w:t>?limit=999999</w:t>
            </w:r>
            <w:r>
              <w:rPr>
                <w:b w:val="0"/>
                <w:i w:val="0"/>
                <w:sz w:val="19"/>
              </w:rPr>
              <w:t>)</w:t>
            </w:r>
          </w:p>
        </w:tc>
      </w:tr>
      <w:tr>
        <w:tc>
          <w:tcPr>
            <w:tcW w:type="dxa" w:w="1928"/>
          </w:tcPr>
          <w:p>
            <w:pPr>
              <w:spacing w:after="0" w:line="240" w:lineRule="auto"/>
              <w:jc w:val="left"/>
            </w:pPr>
            <w:r/>
            <w:r>
              <w:rPr>
                <w:b w:val="0"/>
                <w:i w:val="0"/>
                <w:sz w:val="19"/>
              </w:rPr>
              <w:t>Nada de dado sensível na URL</w:t>
            </w:r>
          </w:p>
        </w:tc>
        <w:tc>
          <w:tcPr>
            <w:tcW w:type="dxa" w:w="4535"/>
          </w:tcPr>
          <w:p>
            <w:pPr>
              <w:spacing w:after="0" w:line="240" w:lineRule="auto"/>
              <w:jc w:val="left"/>
            </w:pPr>
            <w:r/>
            <w:r>
              <w:rPr>
                <w:b w:val="0"/>
                <w:i w:val="0"/>
                <w:sz w:val="19"/>
              </w:rPr>
              <w:t xml:space="preserve">Identificador, nunca CPF/e-mail em </w:t>
            </w:r>
            <w:r>
              <w:rPr>
                <w:b w:val="0"/>
                <w:i/>
                <w:sz w:val="19"/>
              </w:rPr>
              <w:t>path</w:t>
            </w:r>
            <w:r>
              <w:rPr>
                <w:b w:val="0"/>
                <w:i w:val="0"/>
                <w:sz w:val="19"/>
              </w:rPr>
              <w:t xml:space="preserve"> ou </w:t>
            </w:r>
            <w:r>
              <w:rPr>
                <w:b w:val="0"/>
                <w:i/>
                <w:sz w:val="19"/>
              </w:rPr>
              <w:t>query</w:t>
            </w:r>
          </w:p>
        </w:tc>
        <w:tc>
          <w:tcPr>
            <w:tcW w:type="dxa" w:w="3175"/>
          </w:tcPr>
          <w:p>
            <w:pPr>
              <w:spacing w:after="0" w:line="240" w:lineRule="auto"/>
              <w:jc w:val="left"/>
            </w:pPr>
            <w:r/>
            <w:r>
              <w:rPr>
                <w:b w:val="0"/>
                <w:i w:val="0"/>
                <w:sz w:val="19"/>
              </w:rPr>
              <w:t>URLs aparecem em log de proxy, histórico e métrica</w:t>
            </w:r>
          </w:p>
        </w:tc>
      </w:tr>
      <w:tr>
        <w:tc>
          <w:tcPr>
            <w:tcW w:type="dxa" w:w="1928"/>
          </w:tcPr>
          <w:p>
            <w:pPr>
              <w:spacing w:after="0" w:line="240" w:lineRule="auto"/>
              <w:jc w:val="left"/>
            </w:pPr>
            <w:r/>
            <w:r>
              <w:rPr>
                <w:b w:val="0"/>
                <w:i w:val="0"/>
                <w:sz w:val="19"/>
              </w:rPr>
              <w:t>Erros sem vazamento</w:t>
            </w:r>
          </w:p>
        </w:tc>
        <w:tc>
          <w:tcPr>
            <w:tcW w:type="dxa" w:w="4535"/>
          </w:tcPr>
          <w:p>
            <w:pPr>
              <w:spacing w:after="0" w:line="240" w:lineRule="auto"/>
              <w:jc w:val="left"/>
            </w:pPr>
            <w:r/>
            <w:r>
              <w:rPr>
                <w:b w:val="0"/>
                <w:i w:val="0"/>
                <w:sz w:val="19"/>
              </w:rPr>
              <w:t>Resposta de erro padronizada (</w:t>
            </w:r>
            <w:r>
              <w:rPr>
                <w:rFonts w:ascii="Consolas" w:hAnsi="Consolas"/>
                <w:b w:val="0"/>
                <w:i w:val="0"/>
                <w:color w:val="8B1A3A"/>
                <w:sz w:val="18"/>
              </w:rPr>
              <w:t>codigo</w:t>
            </w:r>
            <w:r>
              <w:rPr>
                <w:b w:val="0"/>
                <w:i w:val="0"/>
                <w:sz w:val="19"/>
              </w:rPr>
              <w:t xml:space="preserve">, </w:t>
            </w:r>
            <w:r>
              <w:rPr>
                <w:rFonts w:ascii="Consolas" w:hAnsi="Consolas"/>
                <w:b w:val="0"/>
                <w:i w:val="0"/>
                <w:color w:val="8B1A3A"/>
                <w:sz w:val="18"/>
              </w:rPr>
              <w:t>mensagem</w:t>
            </w:r>
            <w:r>
              <w:rPr>
                <w:b w:val="0"/>
                <w:i w:val="0"/>
                <w:sz w:val="19"/>
              </w:rPr>
              <w:t xml:space="preserve">, </w:t>
            </w:r>
            <w:r>
              <w:rPr>
                <w:rFonts w:ascii="Consolas" w:hAnsi="Consolas"/>
                <w:b w:val="0"/>
                <w:i w:val="0"/>
                <w:color w:val="8B1A3A"/>
                <w:sz w:val="18"/>
              </w:rPr>
              <w:t>traceId</w:t>
            </w:r>
            <w:r>
              <w:rPr>
                <w:b w:val="0"/>
                <w:i w:val="0"/>
                <w:sz w:val="19"/>
              </w:rPr>
              <w:t xml:space="preserve">); sem </w:t>
            </w:r>
            <w:r>
              <w:rPr>
                <w:b w:val="0"/>
                <w:i/>
                <w:sz w:val="19"/>
              </w:rPr>
              <w:t>stack trace</w:t>
            </w:r>
            <w:r>
              <w:rPr>
                <w:b w:val="0"/>
                <w:i w:val="0"/>
                <w:sz w:val="19"/>
              </w:rPr>
              <w:t xml:space="preserve"> nem SQL para o cliente</w:t>
            </w:r>
          </w:p>
        </w:tc>
        <w:tc>
          <w:tcPr>
            <w:tcW w:type="dxa" w:w="3175"/>
          </w:tcPr>
          <w:p>
            <w:pPr>
              <w:spacing w:after="0" w:line="240" w:lineRule="auto"/>
              <w:jc w:val="left"/>
            </w:pPr>
            <w:r/>
            <w:r>
              <w:rPr>
                <w:b w:val="0"/>
                <w:i w:val="0"/>
                <w:sz w:val="19"/>
              </w:rPr>
              <w:t>Erro detalhado é mapa para o atacante</w:t>
            </w:r>
          </w:p>
        </w:tc>
      </w:tr>
    </w:tbl>
    <w:p>
      <w:r>
        <w:rPr>
          <w:b/>
          <w:i w:val="0"/>
          <w:sz w:val="22"/>
        </w:rPr>
        <w:t>OWASP API Security Top 10 (2023) — cobertura explícita:</w:t>
      </w:r>
    </w:p>
    <w:p>
      <w:pPr>
        <w:keepNext/>
        <w:spacing w:after="60" w:before="0"/>
        <w:jc w:val="left"/>
      </w:pPr>
      <w:r>
        <w:rPr>
          <w:b w:val="0"/>
          <w:i/>
          <w:color w:val="595959"/>
          <w:sz w:val="19"/>
        </w:rPr>
        <w:t>Tabela 18 — OWASP API Security Top 10 (2023): risco e contramedida</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2551"/>
            <w:shd w:val="clear" w:fill="F4E7EB"/>
          </w:tcPr>
          <w:p>
            <w:pPr>
              <w:spacing w:after="0"/>
              <w:jc w:val="left"/>
            </w:pPr>
            <w:r>
              <w:rPr>
                <w:b/>
              </w:rPr>
            </w:r>
            <w:r>
              <w:rPr>
                <w:b/>
                <w:i w:val="0"/>
                <w:sz w:val="19"/>
              </w:rPr>
              <w:t>Risco</w:t>
            </w:r>
          </w:p>
        </w:tc>
        <w:tc>
          <w:tcPr>
            <w:tcW w:type="dxa" w:w="7087"/>
            <w:shd w:val="clear" w:fill="F4E7EB"/>
          </w:tcPr>
          <w:p>
            <w:pPr>
              <w:spacing w:after="0"/>
              <w:jc w:val="left"/>
            </w:pPr>
            <w:r>
              <w:rPr>
                <w:b/>
              </w:rPr>
            </w:r>
            <w:r>
              <w:rPr>
                <w:b/>
                <w:i w:val="0"/>
                <w:sz w:val="19"/>
              </w:rPr>
              <w:t>Contramedida nesta arquitetura</w:t>
            </w:r>
          </w:p>
        </w:tc>
      </w:tr>
      <w:tr>
        <w:tc>
          <w:tcPr>
            <w:tcW w:type="dxa" w:w="2551"/>
          </w:tcPr>
          <w:p>
            <w:pPr>
              <w:spacing w:after="0" w:line="240" w:lineRule="auto"/>
              <w:jc w:val="left"/>
            </w:pPr>
            <w:r/>
            <w:r>
              <w:rPr>
                <w:b w:val="0"/>
                <w:i w:val="0"/>
                <w:sz w:val="19"/>
              </w:rPr>
              <w:t>API1 BOLA (acesso a objeto de outro usuário)</w:t>
            </w:r>
          </w:p>
        </w:tc>
        <w:tc>
          <w:tcPr>
            <w:tcW w:type="dxa" w:w="7087"/>
          </w:tcPr>
          <w:p>
            <w:pPr>
              <w:spacing w:after="0" w:line="240" w:lineRule="auto"/>
              <w:jc w:val="left"/>
            </w:pPr>
            <w:r/>
            <w:r>
              <w:rPr>
                <w:b w:val="0"/>
                <w:i w:val="0"/>
                <w:sz w:val="19"/>
              </w:rPr>
              <w:t xml:space="preserve">Autorização sempre no serviço dono do dado, com filtro por </w:t>
            </w:r>
            <w:r>
              <w:rPr>
                <w:rFonts w:ascii="Consolas" w:hAnsi="Consolas"/>
                <w:b w:val="0"/>
                <w:i w:val="0"/>
                <w:color w:val="8B1A3A"/>
                <w:sz w:val="18"/>
              </w:rPr>
              <w:t>sub</w:t>
            </w:r>
            <w:r>
              <w:rPr>
                <w:b w:val="0"/>
                <w:i w:val="0"/>
                <w:sz w:val="19"/>
              </w:rPr>
              <w:t>/proprietário no repositório; teste automatizado com dois usuários distintos</w:t>
            </w:r>
          </w:p>
        </w:tc>
      </w:tr>
      <w:tr>
        <w:tc>
          <w:tcPr>
            <w:tcW w:type="dxa" w:w="2551"/>
          </w:tcPr>
          <w:p>
            <w:pPr>
              <w:spacing w:after="0" w:line="240" w:lineRule="auto"/>
              <w:jc w:val="left"/>
            </w:pPr>
            <w:r/>
            <w:r>
              <w:rPr>
                <w:b w:val="0"/>
                <w:i w:val="0"/>
                <w:sz w:val="19"/>
              </w:rPr>
              <w:t>API2 Autenticação quebrada</w:t>
            </w:r>
          </w:p>
        </w:tc>
        <w:tc>
          <w:tcPr>
            <w:tcW w:type="dxa" w:w="7087"/>
          </w:tcPr>
          <w:p>
            <w:pPr>
              <w:spacing w:after="0" w:line="240" w:lineRule="auto"/>
              <w:jc w:val="left"/>
            </w:pPr>
            <w:r/>
            <w:r>
              <w:rPr>
                <w:b w:val="0"/>
                <w:i w:val="0"/>
                <w:sz w:val="19"/>
              </w:rPr>
              <w:t>OIDC + JWT curto + 2FA no back-office; senha nunca trafega para serviço de negócio</w:t>
            </w:r>
          </w:p>
        </w:tc>
      </w:tr>
      <w:tr>
        <w:tc>
          <w:tcPr>
            <w:tcW w:type="dxa" w:w="2551"/>
          </w:tcPr>
          <w:p>
            <w:pPr>
              <w:spacing w:after="0" w:line="240" w:lineRule="auto"/>
              <w:jc w:val="left"/>
            </w:pPr>
            <w:r/>
            <w:r>
              <w:rPr>
                <w:b w:val="0"/>
                <w:i w:val="0"/>
                <w:sz w:val="19"/>
              </w:rPr>
              <w:t>API3 Consumo irrestrito de recurso</w:t>
            </w:r>
          </w:p>
        </w:tc>
        <w:tc>
          <w:tcPr>
            <w:tcW w:type="dxa" w:w="7087"/>
          </w:tcPr>
          <w:p>
            <w:pPr>
              <w:spacing w:after="0" w:line="240" w:lineRule="auto"/>
              <w:jc w:val="left"/>
            </w:pPr>
            <w:r/>
            <w:r>
              <w:rPr>
                <w:b w:val="0"/>
                <w:i w:val="0"/>
                <w:sz w:val="19"/>
              </w:rPr>
              <w:t>Rate limit/quota no gateway, paginação obrigatória, timeout em toda chamada</w:t>
            </w:r>
          </w:p>
        </w:tc>
      </w:tr>
      <w:tr>
        <w:tc>
          <w:tcPr>
            <w:tcW w:type="dxa" w:w="2551"/>
          </w:tcPr>
          <w:p>
            <w:pPr>
              <w:spacing w:after="0" w:line="240" w:lineRule="auto"/>
              <w:jc w:val="left"/>
            </w:pPr>
            <w:r/>
            <w:r>
              <w:rPr>
                <w:b w:val="0"/>
                <w:i w:val="0"/>
                <w:sz w:val="19"/>
              </w:rPr>
              <w:t>API4 Consumo irrestrito de recurso (fluxo)</w:t>
            </w:r>
          </w:p>
        </w:tc>
        <w:tc>
          <w:tcPr>
            <w:tcW w:type="dxa" w:w="7087"/>
          </w:tcPr>
          <w:p>
            <w:pPr>
              <w:spacing w:after="0" w:line="240" w:lineRule="auto"/>
              <w:jc w:val="left"/>
            </w:pPr>
            <w:r/>
            <w:r>
              <w:rPr>
                <w:b w:val="0"/>
                <w:i w:val="0"/>
                <w:sz w:val="19"/>
              </w:rPr>
              <w:t xml:space="preserve">Limite de itens por pedido e por lote; fila com teto e </w:t>
            </w:r>
            <w:r>
              <w:rPr>
                <w:b w:val="0"/>
                <w:i/>
                <w:sz w:val="19"/>
              </w:rPr>
              <w:t>backpressure</w:t>
            </w:r>
          </w:p>
        </w:tc>
      </w:tr>
      <w:tr>
        <w:tc>
          <w:tcPr>
            <w:tcW w:type="dxa" w:w="2551"/>
          </w:tcPr>
          <w:p>
            <w:pPr>
              <w:spacing w:after="0" w:line="240" w:lineRule="auto"/>
              <w:jc w:val="left"/>
            </w:pPr>
            <w:r/>
            <w:r>
              <w:rPr>
                <w:b w:val="0"/>
                <w:i w:val="0"/>
                <w:sz w:val="19"/>
              </w:rPr>
              <w:t>API5 Autorização em nível de função</w:t>
            </w:r>
          </w:p>
        </w:tc>
        <w:tc>
          <w:tcPr>
            <w:tcW w:type="dxa" w:w="7087"/>
          </w:tcPr>
          <w:p>
            <w:pPr>
              <w:spacing w:after="0" w:line="240" w:lineRule="auto"/>
              <w:jc w:val="left"/>
            </w:pPr>
            <w:r/>
            <w:r>
              <w:rPr>
                <w:b w:val="0"/>
                <w:i w:val="0"/>
                <w:sz w:val="19"/>
              </w:rPr>
              <w:t>Matriz de papéis (seção 5.4) aplicada por endpoint, não por tela</w:t>
            </w:r>
          </w:p>
        </w:tc>
      </w:tr>
      <w:tr>
        <w:tc>
          <w:tcPr>
            <w:tcW w:type="dxa" w:w="2551"/>
          </w:tcPr>
          <w:p>
            <w:pPr>
              <w:spacing w:after="0" w:line="240" w:lineRule="auto"/>
              <w:jc w:val="left"/>
            </w:pPr>
            <w:r/>
            <w:r>
              <w:rPr>
                <w:b w:val="0"/>
                <w:i w:val="0"/>
                <w:sz w:val="19"/>
              </w:rPr>
              <w:t>API6 Acesso irrestrito a fluxos sensíveis</w:t>
            </w:r>
          </w:p>
        </w:tc>
        <w:tc>
          <w:tcPr>
            <w:tcW w:type="dxa" w:w="7087"/>
          </w:tcPr>
          <w:p>
            <w:pPr>
              <w:spacing w:after="0" w:line="240" w:lineRule="auto"/>
              <w:jc w:val="left"/>
            </w:pPr>
            <w:r/>
            <w:r>
              <w:rPr>
                <w:b w:val="0"/>
                <w:i w:val="0"/>
                <w:sz w:val="19"/>
              </w:rPr>
              <w:t xml:space="preserve">Fluxo de pagamento só via </w:t>
            </w:r>
            <w:r>
              <w:rPr>
                <w:rFonts w:ascii="Consolas" w:hAnsi="Consolas"/>
                <w:b w:val="0"/>
                <w:i w:val="0"/>
                <w:color w:val="8B1A3A"/>
                <w:sz w:val="18"/>
              </w:rPr>
              <w:t>ms-pagamentos</w:t>
            </w:r>
            <w:r>
              <w:rPr>
                <w:b w:val="0"/>
                <w:i w:val="0"/>
                <w:sz w:val="19"/>
              </w:rPr>
              <w:t xml:space="preserve">, com </w:t>
            </w:r>
            <w:r>
              <w:rPr>
                <w:rFonts w:ascii="Consolas" w:hAnsi="Consolas"/>
                <w:b w:val="0"/>
                <w:i w:val="0"/>
                <w:color w:val="8B1A3A"/>
                <w:sz w:val="18"/>
              </w:rPr>
              <w:t>Idempotency-Key</w:t>
            </w:r>
            <w:r>
              <w:rPr>
                <w:b w:val="0"/>
                <w:i w:val="0"/>
                <w:sz w:val="19"/>
              </w:rPr>
              <w:t xml:space="preserve"> e verificação antifraude</w:t>
            </w:r>
          </w:p>
        </w:tc>
      </w:tr>
      <w:tr>
        <w:tc>
          <w:tcPr>
            <w:tcW w:type="dxa" w:w="2551"/>
          </w:tcPr>
          <w:p>
            <w:pPr>
              <w:spacing w:after="0" w:line="240" w:lineRule="auto"/>
              <w:jc w:val="left"/>
            </w:pPr>
            <w:r/>
            <w:r>
              <w:rPr>
                <w:b w:val="0"/>
                <w:i w:val="0"/>
                <w:sz w:val="19"/>
              </w:rPr>
              <w:t>API7 SSRF</w:t>
            </w:r>
          </w:p>
        </w:tc>
        <w:tc>
          <w:tcPr>
            <w:tcW w:type="dxa" w:w="7087"/>
          </w:tcPr>
          <w:p>
            <w:pPr>
              <w:spacing w:after="0" w:line="240" w:lineRule="auto"/>
              <w:jc w:val="left"/>
            </w:pPr>
            <w:r/>
            <w:r>
              <w:rPr>
                <w:b w:val="0"/>
                <w:i w:val="0"/>
                <w:sz w:val="19"/>
              </w:rPr>
              <w:t xml:space="preserve">Serviços não buscam URL fornecida pelo cliente; </w:t>
            </w:r>
            <w:r>
              <w:rPr>
                <w:b w:val="0"/>
                <w:i/>
                <w:sz w:val="19"/>
              </w:rPr>
              <w:t>webhook</w:t>
            </w:r>
            <w:r>
              <w:rPr>
                <w:b w:val="0"/>
                <w:i w:val="0"/>
                <w:sz w:val="19"/>
              </w:rPr>
              <w:t xml:space="preserve"> futuro só com lista de destinos permitidos</w:t>
            </w:r>
          </w:p>
        </w:tc>
      </w:tr>
      <w:tr>
        <w:tc>
          <w:tcPr>
            <w:tcW w:type="dxa" w:w="2551"/>
          </w:tcPr>
          <w:p>
            <w:pPr>
              <w:spacing w:after="0" w:line="240" w:lineRule="auto"/>
              <w:jc w:val="left"/>
            </w:pPr>
            <w:r/>
            <w:r>
              <w:rPr>
                <w:b w:val="0"/>
                <w:i w:val="0"/>
                <w:sz w:val="19"/>
              </w:rPr>
              <w:t>API8 Configuração incorreta</w:t>
            </w:r>
          </w:p>
        </w:tc>
        <w:tc>
          <w:tcPr>
            <w:tcW w:type="dxa" w:w="7087"/>
          </w:tcPr>
          <w:p>
            <w:pPr>
              <w:spacing w:after="0" w:line="240" w:lineRule="auto"/>
              <w:jc w:val="left"/>
            </w:pPr>
            <w:r/>
            <w:r>
              <w:rPr>
                <w:b w:val="0"/>
                <w:i w:val="0"/>
                <w:sz w:val="19"/>
              </w:rPr>
              <w:t xml:space="preserve">CORS com origem explícita (fim do </w:t>
            </w:r>
            <w:r>
              <w:rPr>
                <w:rFonts w:ascii="Consolas" w:hAnsi="Consolas"/>
                <w:b w:val="0"/>
                <w:i w:val="0"/>
                <w:color w:val="8B1A3A"/>
                <w:sz w:val="18"/>
              </w:rPr>
              <w:t>AllowAll</w:t>
            </w:r>
            <w:r>
              <w:rPr>
                <w:b w:val="0"/>
                <w:i w:val="0"/>
                <w:sz w:val="19"/>
              </w:rPr>
              <w:t xml:space="preserve">), </w:t>
            </w:r>
            <w:r>
              <w:rPr>
                <w:rFonts w:ascii="Consolas" w:hAnsi="Consolas"/>
                <w:b w:val="0"/>
                <w:i w:val="0"/>
                <w:color w:val="8B1A3A"/>
                <w:sz w:val="18"/>
              </w:rPr>
              <w:t>AllowedHosts</w:t>
            </w:r>
            <w:r>
              <w:rPr>
                <w:b w:val="0"/>
                <w:i w:val="0"/>
                <w:sz w:val="19"/>
              </w:rPr>
              <w:t xml:space="preserve"> restrito, TLS obrigatório, Swagger desligado em produção</w:t>
            </w:r>
          </w:p>
        </w:tc>
      </w:tr>
      <w:tr>
        <w:tc>
          <w:tcPr>
            <w:tcW w:type="dxa" w:w="2551"/>
          </w:tcPr>
          <w:p>
            <w:pPr>
              <w:spacing w:after="0" w:line="240" w:lineRule="auto"/>
              <w:jc w:val="left"/>
            </w:pPr>
            <w:r/>
            <w:r>
              <w:rPr>
                <w:b w:val="0"/>
                <w:i w:val="0"/>
                <w:sz w:val="19"/>
              </w:rPr>
              <w:t>API9 Inventário desatualizado</w:t>
            </w:r>
          </w:p>
        </w:tc>
        <w:tc>
          <w:tcPr>
            <w:tcW w:type="dxa" w:w="7087"/>
          </w:tcPr>
          <w:p>
            <w:pPr>
              <w:spacing w:after="0" w:line="240" w:lineRule="auto"/>
              <w:jc w:val="left"/>
            </w:pPr>
            <w:r/>
            <w:r>
              <w:rPr>
                <w:b w:val="0"/>
                <w:i w:val="0"/>
                <w:sz w:val="19"/>
              </w:rPr>
              <w:t>Catálogo de serviços com dono + OpenAPI versionado no repositório (seção 5.9)</w:t>
            </w:r>
          </w:p>
        </w:tc>
      </w:tr>
      <w:tr>
        <w:tc>
          <w:tcPr>
            <w:tcW w:type="dxa" w:w="2551"/>
          </w:tcPr>
          <w:p>
            <w:pPr>
              <w:spacing w:after="0" w:line="240" w:lineRule="auto"/>
              <w:jc w:val="left"/>
            </w:pPr>
            <w:r/>
            <w:r>
              <w:rPr>
                <w:b w:val="0"/>
                <w:i w:val="0"/>
                <w:sz w:val="19"/>
              </w:rPr>
              <w:t>API10 Consumo de API de terceiros sem validação</w:t>
            </w:r>
          </w:p>
        </w:tc>
        <w:tc>
          <w:tcPr>
            <w:tcW w:type="dxa" w:w="7087"/>
          </w:tcPr>
          <w:p>
            <w:pPr>
              <w:spacing w:after="0" w:line="240" w:lineRule="auto"/>
              <w:jc w:val="left"/>
            </w:pPr>
            <w:r/>
            <w:r>
              <w:rPr>
                <w:b w:val="0"/>
                <w:i w:val="0"/>
                <w:sz w:val="19"/>
              </w:rPr>
              <w:t>Validação da resposta do adquirente de pagamento e falha segura em resposta inesperada</w:t>
            </w:r>
          </w:p>
        </w:tc>
      </w:tr>
    </w:tbl>
    <w:p>
      <w:pPr>
        <w:pStyle w:val="Heading2"/>
      </w:pPr>
      <w:r>
        <w:rPr>
          <w:b w:val="0"/>
          <w:i w:val="0"/>
          <w:sz w:val="22"/>
        </w:rPr>
        <w:t>5.4 Autorização (RBAC + ABAC)</w:t>
      </w:r>
    </w:p>
    <w:p>
      <w:r>
        <w:rPr>
          <w:b/>
          <w:i w:val="0"/>
          <w:sz w:val="22"/>
        </w:rPr>
        <w:t>Modelo:</w:t>
      </w:r>
      <w:r>
        <w:rPr>
          <w:b w:val="0"/>
          <w:i w:val="0"/>
          <w:sz w:val="22"/>
        </w:rPr>
        <w:t xml:space="preserve"> RBAC como base (papel → permissão) com </w:t>
      </w:r>
      <w:r>
        <w:rPr>
          <w:b/>
          <w:i w:val="0"/>
          <w:sz w:val="22"/>
        </w:rPr>
        <w:t>regras ABAC</w:t>
      </w:r>
      <w:r>
        <w:rPr>
          <w:b w:val="0"/>
          <w:i w:val="0"/>
          <w:sz w:val="22"/>
        </w:rPr>
        <w:t xml:space="preserve"> para os casos em que o papel sozinho não decide (loja, região, propriedade do dado).</w:t>
      </w:r>
    </w:p>
    <w:p>
      <w:r>
        <w:rPr>
          <w:b/>
          <w:i w:val="0"/>
          <w:sz w:val="22"/>
        </w:rPr>
        <w:t>Papéis reais da vinheria:</w:t>
      </w:r>
      <w:r>
        <w:rPr>
          <w:b w:val="0"/>
          <w:i w:val="0"/>
          <w:sz w:val="22"/>
        </w:rPr>
        <w:t xml:space="preserve"> </w:t>
      </w:r>
      <w:r>
        <w:rPr>
          <w:rFonts w:ascii="Consolas" w:hAnsi="Consolas"/>
          <w:b w:val="0"/>
          <w:i w:val="0"/>
          <w:color w:val="8B1A3A"/>
          <w:sz w:val="21"/>
        </w:rPr>
        <w:t>cliente</w:t>
      </w:r>
      <w:r>
        <w:rPr>
          <w:b w:val="0"/>
          <w:i w:val="0"/>
          <w:sz w:val="22"/>
        </w:rPr>
        <w:t xml:space="preserve">, </w:t>
      </w:r>
      <w:r>
        <w:rPr>
          <w:rFonts w:ascii="Consolas" w:hAnsi="Consolas"/>
          <w:b w:val="0"/>
          <w:i w:val="0"/>
          <w:color w:val="8B1A3A"/>
          <w:sz w:val="21"/>
        </w:rPr>
        <w:t>atendente</w:t>
      </w:r>
      <w:r>
        <w:rPr>
          <w:b w:val="0"/>
          <w:i w:val="0"/>
          <w:sz w:val="22"/>
        </w:rPr>
        <w:t xml:space="preserve">, </w:t>
      </w:r>
      <w:r>
        <w:rPr>
          <w:rFonts w:ascii="Consolas" w:hAnsi="Consolas"/>
          <w:b w:val="0"/>
          <w:i w:val="0"/>
          <w:color w:val="8B1A3A"/>
          <w:sz w:val="21"/>
        </w:rPr>
        <w:t>enologo</w:t>
      </w:r>
      <w:r>
        <w:rPr>
          <w:b w:val="0"/>
          <w:i w:val="0"/>
          <w:sz w:val="22"/>
        </w:rPr>
        <w:t xml:space="preserve">, </w:t>
      </w:r>
      <w:r>
        <w:rPr>
          <w:rFonts w:ascii="Consolas" w:hAnsi="Consolas"/>
          <w:b w:val="0"/>
          <w:i w:val="0"/>
          <w:color w:val="8B1A3A"/>
          <w:sz w:val="21"/>
        </w:rPr>
        <w:t>gestor-adega</w:t>
      </w:r>
      <w:r>
        <w:rPr>
          <w:b w:val="0"/>
          <w:i w:val="0"/>
          <w:sz w:val="22"/>
        </w:rPr>
        <w:t xml:space="preserve">, </w:t>
      </w:r>
      <w:r>
        <w:rPr>
          <w:rFonts w:ascii="Consolas" w:hAnsi="Consolas"/>
          <w:b w:val="0"/>
          <w:i w:val="0"/>
          <w:color w:val="8B1A3A"/>
          <w:sz w:val="21"/>
        </w:rPr>
        <w:t>admin</w:t>
      </w:r>
      <w:r>
        <w:rPr>
          <w:b w:val="0"/>
          <w:i w:val="0"/>
          <w:sz w:val="22"/>
        </w:rPr>
        <w:t>.</w:t>
      </w:r>
    </w:p>
    <w:p>
      <w:pPr>
        <w:keepNext/>
        <w:spacing w:after="60" w:before="0"/>
        <w:jc w:val="left"/>
      </w:pPr>
      <w:r>
        <w:rPr>
          <w:b w:val="0"/>
          <w:i/>
          <w:color w:val="595959"/>
          <w:sz w:val="19"/>
        </w:rPr>
        <w:t>Tabela 19 — Matriz de autorização por papel e por serviço (RBAC + ABAC)</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rPr>
          <w:tblHeader w:val="true"/>
        </w:trPr>
        <w:tc>
          <w:tcPr>
            <w:tcW w:type="dxa" w:w="1871"/>
            <w:shd w:val="clear" w:fill="F4E7EB"/>
          </w:tcPr>
          <w:p>
            <w:pPr>
              <w:spacing w:after="0"/>
              <w:jc w:val="left"/>
            </w:pPr>
            <w:r>
              <w:rPr>
                <w:b/>
              </w:rPr>
            </w:r>
            <w:r>
              <w:rPr>
                <w:b/>
                <w:i w:val="0"/>
                <w:sz w:val="16"/>
              </w:rPr>
              <w:t>Serviço</w:t>
            </w:r>
          </w:p>
        </w:tc>
        <w:tc>
          <w:tcPr>
            <w:tcW w:type="dxa" w:w="1553"/>
            <w:shd w:val="clear" w:fill="F4E7EB"/>
          </w:tcPr>
          <w:p>
            <w:pPr>
              <w:spacing w:after="0"/>
              <w:jc w:val="left"/>
            </w:pPr>
            <w:r>
              <w:rPr>
                <w:b/>
              </w:rPr>
            </w:r>
            <w:r>
              <w:rPr>
                <w:b/>
                <w:i w:val="0"/>
                <w:sz w:val="16"/>
              </w:rPr>
              <w:t>cliente</w:t>
            </w:r>
          </w:p>
        </w:tc>
        <w:tc>
          <w:tcPr>
            <w:tcW w:type="dxa" w:w="1553"/>
            <w:shd w:val="clear" w:fill="F4E7EB"/>
          </w:tcPr>
          <w:p>
            <w:pPr>
              <w:spacing w:after="0"/>
              <w:jc w:val="left"/>
            </w:pPr>
            <w:r>
              <w:rPr>
                <w:b/>
              </w:rPr>
            </w:r>
            <w:r>
              <w:rPr>
                <w:b/>
                <w:i w:val="0"/>
                <w:sz w:val="16"/>
              </w:rPr>
              <w:t>atendente</w:t>
            </w:r>
          </w:p>
        </w:tc>
        <w:tc>
          <w:tcPr>
            <w:tcW w:type="dxa" w:w="1553"/>
            <w:shd w:val="clear" w:fill="F4E7EB"/>
          </w:tcPr>
          <w:p>
            <w:pPr>
              <w:spacing w:after="0"/>
              <w:jc w:val="left"/>
            </w:pPr>
            <w:r>
              <w:rPr>
                <w:b/>
              </w:rPr>
            </w:r>
            <w:r>
              <w:rPr>
                <w:b/>
                <w:i w:val="0"/>
                <w:sz w:val="16"/>
              </w:rPr>
              <w:t>enologo</w:t>
            </w:r>
          </w:p>
        </w:tc>
        <w:tc>
          <w:tcPr>
            <w:tcW w:type="dxa" w:w="1553"/>
            <w:shd w:val="clear" w:fill="F4E7EB"/>
          </w:tcPr>
          <w:p>
            <w:pPr>
              <w:spacing w:after="0"/>
              <w:jc w:val="left"/>
            </w:pPr>
            <w:r>
              <w:rPr>
                <w:b/>
              </w:rPr>
            </w:r>
            <w:r>
              <w:rPr>
                <w:b/>
                <w:i w:val="0"/>
                <w:sz w:val="16"/>
              </w:rPr>
              <w:t>gestor-adega</w:t>
            </w:r>
          </w:p>
        </w:tc>
        <w:tc>
          <w:tcPr>
            <w:tcW w:type="dxa" w:w="1553"/>
            <w:shd w:val="clear" w:fill="F4E7EB"/>
          </w:tcPr>
          <w:p>
            <w:pPr>
              <w:spacing w:after="0"/>
              <w:jc w:val="left"/>
            </w:pPr>
            <w:r>
              <w:rPr>
                <w:b/>
              </w:rPr>
            </w:r>
            <w:r>
              <w:rPr>
                <w:b/>
                <w:i w:val="0"/>
                <w:sz w:val="16"/>
              </w:rPr>
              <w:t>admin</w:t>
            </w:r>
          </w:p>
        </w:tc>
      </w:tr>
      <w:tr>
        <w:tc>
          <w:tcPr>
            <w:tcW w:type="dxa" w:w="1871"/>
          </w:tcPr>
          <w:p>
            <w:pPr>
              <w:spacing w:after="0" w:line="240" w:lineRule="auto"/>
              <w:jc w:val="left"/>
            </w:pPr>
            <w:r/>
            <w:r>
              <w:rPr>
                <w:rFonts w:ascii="Consolas" w:hAnsi="Consolas"/>
                <w:b w:val="0"/>
                <w:i w:val="0"/>
                <w:color w:val="8B1A3A"/>
                <w:sz w:val="15"/>
              </w:rPr>
              <w:t>ms-catalogo</w:t>
            </w:r>
          </w:p>
        </w:tc>
        <w:tc>
          <w:tcPr>
            <w:tcW w:type="dxa" w:w="1553"/>
          </w:tcPr>
          <w:p>
            <w:pPr>
              <w:spacing w:after="0" w:line="240" w:lineRule="auto"/>
              <w:jc w:val="left"/>
            </w:pPr>
            <w:r/>
            <w:r>
              <w:rPr>
                <w:b w:val="0"/>
                <w:i w:val="0"/>
                <w:sz w:val="16"/>
              </w:rPr>
              <w:t>ler</w:t>
            </w:r>
          </w:p>
        </w:tc>
        <w:tc>
          <w:tcPr>
            <w:tcW w:type="dxa" w:w="1553"/>
          </w:tcPr>
          <w:p>
            <w:pPr>
              <w:spacing w:after="0" w:line="240" w:lineRule="auto"/>
              <w:jc w:val="left"/>
            </w:pPr>
            <w:r/>
            <w:r>
              <w:rPr>
                <w:b w:val="0"/>
                <w:i w:val="0"/>
                <w:sz w:val="16"/>
              </w:rPr>
              <w:t>ler</w:t>
            </w:r>
          </w:p>
        </w:tc>
        <w:tc>
          <w:tcPr>
            <w:tcW w:type="dxa" w:w="1553"/>
          </w:tcPr>
          <w:p>
            <w:pPr>
              <w:spacing w:after="0" w:line="240" w:lineRule="auto"/>
              <w:jc w:val="left"/>
            </w:pPr>
            <w:r/>
            <w:r>
              <w:rPr>
                <w:b w:val="0"/>
                <w:i w:val="0"/>
                <w:sz w:val="16"/>
              </w:rPr>
              <w:t>ler</w:t>
            </w:r>
          </w:p>
        </w:tc>
        <w:tc>
          <w:tcPr>
            <w:tcW w:type="dxa" w:w="1553"/>
          </w:tcPr>
          <w:p>
            <w:pPr>
              <w:spacing w:after="0" w:line="240" w:lineRule="auto"/>
              <w:jc w:val="left"/>
            </w:pPr>
            <w:r/>
            <w:r>
              <w:rPr>
                <w:b w:val="0"/>
                <w:i w:val="0"/>
                <w:sz w:val="16"/>
              </w:rPr>
              <w:t>ler</w:t>
            </w:r>
          </w:p>
        </w:tc>
        <w:tc>
          <w:tcPr>
            <w:tcW w:type="dxa" w:w="1553"/>
          </w:tcPr>
          <w:p>
            <w:pPr>
              <w:spacing w:after="0" w:line="240" w:lineRule="auto"/>
              <w:jc w:val="left"/>
            </w:pPr>
            <w:r/>
            <w:r>
              <w:rPr>
                <w:b w:val="0"/>
                <w:i w:val="0"/>
                <w:sz w:val="16"/>
              </w:rPr>
              <w:t>ler, escrever</w:t>
            </w:r>
          </w:p>
        </w:tc>
      </w:tr>
      <w:tr>
        <w:tc>
          <w:tcPr>
            <w:tcW w:type="dxa" w:w="1871"/>
          </w:tcPr>
          <w:p>
            <w:pPr>
              <w:spacing w:after="0" w:line="240" w:lineRule="auto"/>
              <w:jc w:val="left"/>
            </w:pPr>
            <w:r/>
            <w:r>
              <w:rPr>
                <w:rFonts w:ascii="Consolas" w:hAnsi="Consolas"/>
                <w:b w:val="0"/>
                <w:i w:val="0"/>
                <w:color w:val="8B1A3A"/>
                <w:sz w:val="15"/>
              </w:rPr>
              <w:t>ms-clientes</w:t>
            </w:r>
          </w:p>
        </w:tc>
        <w:tc>
          <w:tcPr>
            <w:tcW w:type="dxa" w:w="1553"/>
          </w:tcPr>
          <w:p>
            <w:pPr>
              <w:spacing w:after="0" w:line="240" w:lineRule="auto"/>
              <w:jc w:val="left"/>
            </w:pPr>
            <w:r/>
            <w:r>
              <w:rPr>
                <w:b w:val="0"/>
                <w:i w:val="0"/>
                <w:sz w:val="16"/>
              </w:rPr>
              <w:t xml:space="preserve">ler/editar </w:t>
            </w:r>
            <w:r>
              <w:rPr>
                <w:b/>
                <w:i w:val="0"/>
                <w:sz w:val="16"/>
              </w:rPr>
              <w:t>próprio</w:t>
            </w:r>
            <w:r>
              <w:rPr>
                <w:b w:val="0"/>
                <w:i w:val="0"/>
                <w:sz w:val="16"/>
              </w:rPr>
              <w:t xml:space="preserve"> perfil</w:t>
            </w:r>
          </w:p>
        </w:tc>
        <w:tc>
          <w:tcPr>
            <w:tcW w:type="dxa" w:w="1553"/>
          </w:tcPr>
          <w:p>
            <w:pPr>
              <w:spacing w:after="0" w:line="240" w:lineRule="auto"/>
              <w:jc w:val="left"/>
            </w:pPr>
            <w:r/>
            <w:r>
              <w:rPr>
                <w:b w:val="0"/>
                <w:i w:val="0"/>
                <w:sz w:val="16"/>
              </w:rPr>
              <w:t>ler/editar clientes da sua loja</w:t>
            </w:r>
          </w:p>
        </w:tc>
        <w:tc>
          <w:tcPr>
            <w:tcW w:type="dxa" w:w="1553"/>
          </w:tcPr>
          <w:p>
            <w:pPr>
              <w:spacing w:after="0" w:line="240" w:lineRule="auto"/>
              <w:jc w:val="left"/>
            </w:pPr>
            <w:r/>
            <w:r>
              <w:rPr>
                <w:b w:val="0"/>
                <w:i w:val="0"/>
                <w:sz w:val="16"/>
              </w:rPr>
              <w:t>—</w:t>
            </w:r>
          </w:p>
        </w:tc>
        <w:tc>
          <w:tcPr>
            <w:tcW w:type="dxa" w:w="1553"/>
          </w:tcPr>
          <w:p>
            <w:pPr>
              <w:spacing w:after="0" w:line="240" w:lineRule="auto"/>
              <w:jc w:val="left"/>
            </w:pPr>
            <w:r/>
            <w:r>
              <w:rPr>
                <w:b w:val="0"/>
                <w:i w:val="0"/>
                <w:sz w:val="16"/>
              </w:rPr>
              <w:t>—</w:t>
            </w:r>
          </w:p>
        </w:tc>
        <w:tc>
          <w:tcPr>
            <w:tcW w:type="dxa" w:w="1553"/>
          </w:tcPr>
          <w:p>
            <w:pPr>
              <w:spacing w:after="0" w:line="240" w:lineRule="auto"/>
              <w:jc w:val="left"/>
            </w:pPr>
            <w:r/>
            <w:r>
              <w:rPr>
                <w:b w:val="0"/>
                <w:i w:val="0"/>
                <w:sz w:val="16"/>
              </w:rPr>
              <w:t>ler, escrever</w:t>
            </w:r>
          </w:p>
        </w:tc>
      </w:tr>
      <w:tr>
        <w:tc>
          <w:tcPr>
            <w:tcW w:type="dxa" w:w="1871"/>
          </w:tcPr>
          <w:p>
            <w:pPr>
              <w:spacing w:after="0" w:line="240" w:lineRule="auto"/>
              <w:jc w:val="left"/>
            </w:pPr>
            <w:r/>
            <w:r>
              <w:rPr>
                <w:rFonts w:ascii="Consolas" w:hAnsi="Consolas"/>
                <w:b w:val="0"/>
                <w:i w:val="0"/>
                <w:color w:val="8B1A3A"/>
                <w:sz w:val="15"/>
              </w:rPr>
              <w:t>ms-pedidos</w:t>
            </w:r>
          </w:p>
        </w:tc>
        <w:tc>
          <w:tcPr>
            <w:tcW w:type="dxa" w:w="1553"/>
          </w:tcPr>
          <w:p>
            <w:pPr>
              <w:spacing w:after="0" w:line="240" w:lineRule="auto"/>
              <w:jc w:val="left"/>
            </w:pPr>
            <w:r/>
            <w:r>
              <w:rPr>
                <w:b w:val="0"/>
                <w:i w:val="0"/>
                <w:sz w:val="16"/>
              </w:rPr>
              <w:t xml:space="preserve">criar/ler </w:t>
            </w:r>
            <w:r>
              <w:rPr>
                <w:b/>
                <w:i w:val="0"/>
                <w:sz w:val="16"/>
              </w:rPr>
              <w:t>próprios</w:t>
            </w:r>
            <w:r>
              <w:rPr>
                <w:b w:val="0"/>
                <w:i w:val="0"/>
                <w:sz w:val="16"/>
              </w:rPr>
              <w:t xml:space="preserve"> pedidos</w:t>
            </w:r>
          </w:p>
        </w:tc>
        <w:tc>
          <w:tcPr>
            <w:tcW w:type="dxa" w:w="1553"/>
          </w:tcPr>
          <w:p>
            <w:pPr>
              <w:spacing w:after="0" w:line="240" w:lineRule="auto"/>
              <w:jc w:val="left"/>
            </w:pPr>
            <w:r/>
            <w:r>
              <w:rPr>
                <w:b w:val="0"/>
                <w:i w:val="0"/>
                <w:sz w:val="16"/>
              </w:rPr>
              <w:t>ler/criar pedido para cliente, cancelar</w:t>
            </w:r>
          </w:p>
        </w:tc>
        <w:tc>
          <w:tcPr>
            <w:tcW w:type="dxa" w:w="1553"/>
          </w:tcPr>
          <w:p>
            <w:pPr>
              <w:spacing w:after="0" w:line="240" w:lineRule="auto"/>
              <w:jc w:val="left"/>
            </w:pPr>
            <w:r/>
            <w:r>
              <w:rPr>
                <w:b w:val="0"/>
                <w:i w:val="0"/>
                <w:sz w:val="16"/>
              </w:rPr>
              <w:t>—</w:t>
            </w:r>
          </w:p>
        </w:tc>
        <w:tc>
          <w:tcPr>
            <w:tcW w:type="dxa" w:w="1553"/>
          </w:tcPr>
          <w:p>
            <w:pPr>
              <w:spacing w:after="0" w:line="240" w:lineRule="auto"/>
              <w:jc w:val="left"/>
            </w:pPr>
            <w:r/>
            <w:r>
              <w:rPr>
                <w:b w:val="0"/>
                <w:i w:val="0"/>
                <w:sz w:val="16"/>
              </w:rPr>
              <w:t>—</w:t>
            </w:r>
          </w:p>
        </w:tc>
        <w:tc>
          <w:tcPr>
            <w:tcW w:type="dxa" w:w="1553"/>
          </w:tcPr>
          <w:p>
            <w:pPr>
              <w:spacing w:after="0" w:line="240" w:lineRule="auto"/>
              <w:jc w:val="left"/>
            </w:pPr>
            <w:r/>
            <w:r>
              <w:rPr>
                <w:b w:val="0"/>
                <w:i w:val="0"/>
                <w:sz w:val="16"/>
              </w:rPr>
              <w:t>total</w:t>
            </w:r>
          </w:p>
        </w:tc>
      </w:tr>
      <w:tr>
        <w:tc>
          <w:tcPr>
            <w:tcW w:type="dxa" w:w="1871"/>
          </w:tcPr>
          <w:p>
            <w:pPr>
              <w:spacing w:after="0" w:line="240" w:lineRule="auto"/>
              <w:jc w:val="left"/>
            </w:pPr>
            <w:r/>
            <w:r>
              <w:rPr>
                <w:rFonts w:ascii="Consolas" w:hAnsi="Consolas"/>
                <w:b w:val="0"/>
                <w:i w:val="0"/>
                <w:color w:val="8B1A3A"/>
                <w:sz w:val="15"/>
              </w:rPr>
              <w:t>ms-estoque</w:t>
            </w:r>
          </w:p>
        </w:tc>
        <w:tc>
          <w:tcPr>
            <w:tcW w:type="dxa" w:w="1553"/>
          </w:tcPr>
          <w:p>
            <w:pPr>
              <w:spacing w:after="0" w:line="240" w:lineRule="auto"/>
              <w:jc w:val="left"/>
            </w:pPr>
            <w:r/>
            <w:r>
              <w:rPr>
                <w:b w:val="0"/>
                <w:i w:val="0"/>
                <w:sz w:val="16"/>
              </w:rPr>
              <w:t>ler saldo público</w:t>
            </w:r>
          </w:p>
        </w:tc>
        <w:tc>
          <w:tcPr>
            <w:tcW w:type="dxa" w:w="1553"/>
          </w:tcPr>
          <w:p>
            <w:pPr>
              <w:spacing w:after="0" w:line="240" w:lineRule="auto"/>
              <w:jc w:val="left"/>
            </w:pPr>
            <w:r/>
            <w:r>
              <w:rPr>
                <w:b w:val="0"/>
                <w:i w:val="0"/>
                <w:sz w:val="16"/>
              </w:rPr>
              <w:t>ler saldo, reservar</w:t>
            </w:r>
          </w:p>
        </w:tc>
        <w:tc>
          <w:tcPr>
            <w:tcW w:type="dxa" w:w="1553"/>
          </w:tcPr>
          <w:p>
            <w:pPr>
              <w:spacing w:after="0" w:line="240" w:lineRule="auto"/>
              <w:jc w:val="left"/>
            </w:pPr>
            <w:r/>
            <w:r>
              <w:rPr>
                <w:b w:val="0"/>
                <w:i w:val="0"/>
                <w:sz w:val="16"/>
              </w:rPr>
              <w:t>—</w:t>
            </w:r>
          </w:p>
        </w:tc>
        <w:tc>
          <w:tcPr>
            <w:tcW w:type="dxa" w:w="1553"/>
          </w:tcPr>
          <w:p>
            <w:pPr>
              <w:spacing w:after="0" w:line="240" w:lineRule="auto"/>
              <w:jc w:val="left"/>
            </w:pPr>
            <w:r/>
            <w:r>
              <w:rPr>
                <w:b w:val="0"/>
                <w:i w:val="0"/>
                <w:sz w:val="16"/>
              </w:rPr>
              <w:t>ler, movimentar, ajustar</w:t>
            </w:r>
          </w:p>
        </w:tc>
        <w:tc>
          <w:tcPr>
            <w:tcW w:type="dxa" w:w="1553"/>
          </w:tcPr>
          <w:p>
            <w:pPr>
              <w:spacing w:after="0" w:line="240" w:lineRule="auto"/>
              <w:jc w:val="left"/>
            </w:pPr>
            <w:r/>
            <w:r>
              <w:rPr>
                <w:b w:val="0"/>
                <w:i w:val="0"/>
                <w:sz w:val="16"/>
              </w:rPr>
              <w:t>total</w:t>
            </w:r>
          </w:p>
        </w:tc>
      </w:tr>
      <w:tr>
        <w:tc>
          <w:tcPr>
            <w:tcW w:type="dxa" w:w="1871"/>
          </w:tcPr>
          <w:p>
            <w:pPr>
              <w:spacing w:after="0" w:line="240" w:lineRule="auto"/>
              <w:jc w:val="left"/>
            </w:pPr>
            <w:r/>
            <w:r>
              <w:rPr>
                <w:rFonts w:ascii="Consolas" w:hAnsi="Consolas"/>
                <w:b w:val="0"/>
                <w:i w:val="0"/>
                <w:color w:val="8B1A3A"/>
                <w:sz w:val="15"/>
              </w:rPr>
              <w:t>ms-lotes</w:t>
            </w:r>
          </w:p>
        </w:tc>
        <w:tc>
          <w:tcPr>
            <w:tcW w:type="dxa" w:w="1553"/>
          </w:tcPr>
          <w:p>
            <w:pPr>
              <w:spacing w:after="0" w:line="240" w:lineRule="auto"/>
              <w:jc w:val="left"/>
            </w:pPr>
            <w:r/>
            <w:r>
              <w:rPr>
                <w:b w:val="0"/>
                <w:i w:val="0"/>
                <w:sz w:val="16"/>
              </w:rPr>
              <w:t>ler rastreio público do lote</w:t>
            </w:r>
          </w:p>
        </w:tc>
        <w:tc>
          <w:tcPr>
            <w:tcW w:type="dxa" w:w="1553"/>
          </w:tcPr>
          <w:p>
            <w:pPr>
              <w:spacing w:after="0" w:line="240" w:lineRule="auto"/>
              <w:jc w:val="left"/>
            </w:pPr>
            <w:r/>
            <w:r>
              <w:rPr>
                <w:b w:val="0"/>
                <w:i w:val="0"/>
                <w:sz w:val="16"/>
              </w:rPr>
              <w:t>ler</w:t>
            </w:r>
          </w:p>
        </w:tc>
        <w:tc>
          <w:tcPr>
            <w:tcW w:type="dxa" w:w="1553"/>
          </w:tcPr>
          <w:p>
            <w:pPr>
              <w:spacing w:after="0" w:line="240" w:lineRule="auto"/>
              <w:jc w:val="left"/>
            </w:pPr>
            <w:r/>
            <w:r>
              <w:rPr>
                <w:b w:val="0"/>
                <w:i w:val="0"/>
                <w:sz w:val="16"/>
              </w:rPr>
              <w:t xml:space="preserve">ler, </w:t>
            </w:r>
            <w:r>
              <w:rPr>
                <w:b/>
                <w:i w:val="0"/>
                <w:sz w:val="16"/>
              </w:rPr>
              <w:t>criar/validar lote</w:t>
            </w:r>
          </w:p>
        </w:tc>
        <w:tc>
          <w:tcPr>
            <w:tcW w:type="dxa" w:w="1553"/>
          </w:tcPr>
          <w:p>
            <w:pPr>
              <w:spacing w:after="0" w:line="240" w:lineRule="auto"/>
              <w:jc w:val="left"/>
            </w:pPr>
            <w:r/>
            <w:r>
              <w:rPr>
                <w:b w:val="0"/>
                <w:i w:val="0"/>
                <w:sz w:val="16"/>
              </w:rPr>
              <w:t>ler, movimentar</w:t>
            </w:r>
          </w:p>
        </w:tc>
        <w:tc>
          <w:tcPr>
            <w:tcW w:type="dxa" w:w="1553"/>
          </w:tcPr>
          <w:p>
            <w:pPr>
              <w:spacing w:after="0" w:line="240" w:lineRule="auto"/>
              <w:jc w:val="left"/>
            </w:pPr>
            <w:r/>
            <w:r>
              <w:rPr>
                <w:b w:val="0"/>
                <w:i w:val="0"/>
                <w:sz w:val="16"/>
              </w:rPr>
              <w:t>total</w:t>
            </w:r>
          </w:p>
        </w:tc>
      </w:tr>
      <w:tr>
        <w:tc>
          <w:tcPr>
            <w:tcW w:type="dxa" w:w="1871"/>
          </w:tcPr>
          <w:p>
            <w:pPr>
              <w:spacing w:after="0" w:line="240" w:lineRule="auto"/>
              <w:jc w:val="left"/>
            </w:pPr>
            <w:r/>
            <w:r>
              <w:rPr>
                <w:rFonts w:ascii="Consolas" w:hAnsi="Consolas"/>
                <w:b w:val="0"/>
                <w:i w:val="0"/>
                <w:color w:val="8B1A3A"/>
                <w:sz w:val="15"/>
              </w:rPr>
              <w:t>ms-producao</w:t>
            </w:r>
          </w:p>
        </w:tc>
        <w:tc>
          <w:tcPr>
            <w:tcW w:type="dxa" w:w="1553"/>
          </w:tcPr>
          <w:p>
            <w:pPr>
              <w:spacing w:after="0" w:line="240" w:lineRule="auto"/>
              <w:jc w:val="left"/>
            </w:pPr>
            <w:r/>
            <w:r>
              <w:rPr>
                <w:b w:val="0"/>
                <w:i w:val="0"/>
                <w:sz w:val="16"/>
              </w:rPr>
              <w:t>—</w:t>
            </w:r>
          </w:p>
        </w:tc>
        <w:tc>
          <w:tcPr>
            <w:tcW w:type="dxa" w:w="1553"/>
          </w:tcPr>
          <w:p>
            <w:pPr>
              <w:spacing w:after="0" w:line="240" w:lineRule="auto"/>
              <w:jc w:val="left"/>
            </w:pPr>
            <w:r/>
            <w:r>
              <w:rPr>
                <w:b w:val="0"/>
                <w:i w:val="0"/>
                <w:sz w:val="16"/>
              </w:rPr>
              <w:t>—</w:t>
            </w:r>
          </w:p>
        </w:tc>
        <w:tc>
          <w:tcPr>
            <w:tcW w:type="dxa" w:w="1553"/>
          </w:tcPr>
          <w:p>
            <w:pPr>
              <w:spacing w:after="0" w:line="240" w:lineRule="auto"/>
              <w:jc w:val="left"/>
            </w:pPr>
            <w:r/>
            <w:r>
              <w:rPr>
                <w:b w:val="0"/>
                <w:i w:val="0"/>
                <w:sz w:val="16"/>
              </w:rPr>
              <w:t>ler, registrar</w:t>
            </w:r>
          </w:p>
        </w:tc>
        <w:tc>
          <w:tcPr>
            <w:tcW w:type="dxa" w:w="1553"/>
          </w:tcPr>
          <w:p>
            <w:pPr>
              <w:spacing w:after="0" w:line="240" w:lineRule="auto"/>
              <w:jc w:val="left"/>
            </w:pPr>
            <w:r/>
            <w:r>
              <w:rPr>
                <w:b w:val="0"/>
                <w:i w:val="0"/>
                <w:sz w:val="16"/>
              </w:rPr>
              <w:t>registrar colheita</w:t>
            </w:r>
          </w:p>
        </w:tc>
        <w:tc>
          <w:tcPr>
            <w:tcW w:type="dxa" w:w="1553"/>
          </w:tcPr>
          <w:p>
            <w:pPr>
              <w:spacing w:after="0" w:line="240" w:lineRule="auto"/>
              <w:jc w:val="left"/>
            </w:pPr>
            <w:r/>
            <w:r>
              <w:rPr>
                <w:b w:val="0"/>
                <w:i w:val="0"/>
                <w:sz w:val="16"/>
              </w:rPr>
              <w:t>total</w:t>
            </w:r>
          </w:p>
        </w:tc>
      </w:tr>
      <w:tr>
        <w:tc>
          <w:tcPr>
            <w:tcW w:type="dxa" w:w="1871"/>
          </w:tcPr>
          <w:p>
            <w:pPr>
              <w:spacing w:after="0" w:line="240" w:lineRule="auto"/>
              <w:jc w:val="left"/>
            </w:pPr>
            <w:r/>
            <w:r>
              <w:rPr>
                <w:rFonts w:ascii="Consolas" w:hAnsi="Consolas"/>
                <w:b w:val="0"/>
                <w:i w:val="0"/>
                <w:color w:val="8B1A3A"/>
                <w:sz w:val="15"/>
              </w:rPr>
              <w:t>ms-qualidade</w:t>
            </w:r>
          </w:p>
        </w:tc>
        <w:tc>
          <w:tcPr>
            <w:tcW w:type="dxa" w:w="1553"/>
          </w:tcPr>
          <w:p>
            <w:pPr>
              <w:spacing w:after="0" w:line="240" w:lineRule="auto"/>
              <w:jc w:val="left"/>
            </w:pPr>
            <w:r/>
            <w:r>
              <w:rPr>
                <w:b w:val="0"/>
                <w:i w:val="0"/>
                <w:sz w:val="16"/>
              </w:rPr>
              <w:t>—</w:t>
            </w:r>
          </w:p>
        </w:tc>
        <w:tc>
          <w:tcPr>
            <w:tcW w:type="dxa" w:w="1553"/>
          </w:tcPr>
          <w:p>
            <w:pPr>
              <w:spacing w:after="0" w:line="240" w:lineRule="auto"/>
              <w:jc w:val="left"/>
            </w:pPr>
            <w:r/>
            <w:r>
              <w:rPr>
                <w:b w:val="0"/>
                <w:i w:val="0"/>
                <w:sz w:val="16"/>
              </w:rPr>
              <w:t>—</w:t>
            </w:r>
          </w:p>
        </w:tc>
        <w:tc>
          <w:tcPr>
            <w:tcW w:type="dxa" w:w="1553"/>
          </w:tcPr>
          <w:p>
            <w:pPr>
              <w:spacing w:after="0" w:line="240" w:lineRule="auto"/>
              <w:jc w:val="left"/>
            </w:pPr>
            <w:r/>
            <w:r>
              <w:rPr>
                <w:b w:val="0"/>
                <w:i w:val="0"/>
                <w:sz w:val="16"/>
              </w:rPr>
              <w:t xml:space="preserve">ler análises, </w:t>
            </w:r>
            <w:r>
              <w:rPr>
                <w:b/>
                <w:i w:val="0"/>
                <w:sz w:val="16"/>
              </w:rPr>
              <w:t>emitir laudo</w:t>
            </w:r>
          </w:p>
        </w:tc>
        <w:tc>
          <w:tcPr>
            <w:tcW w:type="dxa" w:w="1553"/>
          </w:tcPr>
          <w:p>
            <w:pPr>
              <w:spacing w:after="0" w:line="240" w:lineRule="auto"/>
              <w:jc w:val="left"/>
            </w:pPr>
            <w:r/>
            <w:r>
              <w:rPr>
                <w:b w:val="0"/>
                <w:i w:val="0"/>
                <w:sz w:val="16"/>
              </w:rPr>
              <w:t xml:space="preserve">ler telemetria, </w:t>
            </w:r>
            <w:r>
              <w:rPr>
                <w:b/>
                <w:i w:val="0"/>
                <w:sz w:val="16"/>
              </w:rPr>
              <w:t>configurar faixas/alertas</w:t>
            </w:r>
          </w:p>
        </w:tc>
        <w:tc>
          <w:tcPr>
            <w:tcW w:type="dxa" w:w="1553"/>
          </w:tcPr>
          <w:p>
            <w:pPr>
              <w:spacing w:after="0" w:line="240" w:lineRule="auto"/>
              <w:jc w:val="left"/>
            </w:pPr>
            <w:r/>
            <w:r>
              <w:rPr>
                <w:b w:val="0"/>
                <w:i w:val="0"/>
                <w:sz w:val="16"/>
              </w:rPr>
              <w:t>total</w:t>
            </w:r>
          </w:p>
        </w:tc>
      </w:tr>
      <w:tr>
        <w:tc>
          <w:tcPr>
            <w:tcW w:type="dxa" w:w="1871"/>
          </w:tcPr>
          <w:p>
            <w:pPr>
              <w:spacing w:after="0" w:line="240" w:lineRule="auto"/>
              <w:jc w:val="left"/>
            </w:pPr>
            <w:r/>
            <w:r>
              <w:rPr>
                <w:rFonts w:ascii="Consolas" w:hAnsi="Consolas"/>
                <w:b w:val="0"/>
                <w:i w:val="0"/>
                <w:color w:val="8B1A3A"/>
                <w:sz w:val="15"/>
              </w:rPr>
              <w:t>ms-fornecedores</w:t>
            </w:r>
          </w:p>
        </w:tc>
        <w:tc>
          <w:tcPr>
            <w:tcW w:type="dxa" w:w="1553"/>
          </w:tcPr>
          <w:p>
            <w:pPr>
              <w:spacing w:after="0" w:line="240" w:lineRule="auto"/>
              <w:jc w:val="left"/>
            </w:pPr>
            <w:r/>
            <w:r>
              <w:rPr>
                <w:b w:val="0"/>
                <w:i w:val="0"/>
                <w:sz w:val="16"/>
              </w:rPr>
              <w:t>—</w:t>
            </w:r>
          </w:p>
        </w:tc>
        <w:tc>
          <w:tcPr>
            <w:tcW w:type="dxa" w:w="1553"/>
          </w:tcPr>
          <w:p>
            <w:pPr>
              <w:spacing w:after="0" w:line="240" w:lineRule="auto"/>
              <w:jc w:val="left"/>
            </w:pPr>
            <w:r/>
            <w:r>
              <w:rPr>
                <w:b w:val="0"/>
                <w:i w:val="0"/>
                <w:sz w:val="16"/>
              </w:rPr>
              <w:t>consultar</w:t>
            </w:r>
          </w:p>
        </w:tc>
        <w:tc>
          <w:tcPr>
            <w:tcW w:type="dxa" w:w="1553"/>
          </w:tcPr>
          <w:p>
            <w:pPr>
              <w:spacing w:after="0" w:line="240" w:lineRule="auto"/>
              <w:jc w:val="left"/>
            </w:pPr>
            <w:r/>
            <w:r>
              <w:rPr>
                <w:b w:val="0"/>
                <w:i w:val="0"/>
                <w:sz w:val="16"/>
              </w:rPr>
              <w:t>—</w:t>
            </w:r>
          </w:p>
        </w:tc>
        <w:tc>
          <w:tcPr>
            <w:tcW w:type="dxa" w:w="1553"/>
          </w:tcPr>
          <w:p>
            <w:pPr>
              <w:spacing w:after="0" w:line="240" w:lineRule="auto"/>
              <w:jc w:val="left"/>
            </w:pPr>
            <w:r/>
            <w:r>
              <w:rPr>
                <w:b w:val="0"/>
                <w:i w:val="0"/>
                <w:sz w:val="16"/>
              </w:rPr>
              <w:t>consultar, receber</w:t>
            </w:r>
          </w:p>
        </w:tc>
        <w:tc>
          <w:tcPr>
            <w:tcW w:type="dxa" w:w="1553"/>
          </w:tcPr>
          <w:p>
            <w:pPr>
              <w:spacing w:after="0" w:line="240" w:lineRule="auto"/>
              <w:jc w:val="left"/>
            </w:pPr>
            <w:r/>
            <w:r>
              <w:rPr>
                <w:b w:val="0"/>
                <w:i w:val="0"/>
                <w:sz w:val="16"/>
              </w:rPr>
              <w:t>total</w:t>
            </w:r>
          </w:p>
        </w:tc>
      </w:tr>
      <w:tr>
        <w:tc>
          <w:tcPr>
            <w:tcW w:type="dxa" w:w="1871"/>
          </w:tcPr>
          <w:p>
            <w:pPr>
              <w:spacing w:after="0" w:line="240" w:lineRule="auto"/>
              <w:jc w:val="left"/>
            </w:pPr>
            <w:r/>
            <w:r>
              <w:rPr>
                <w:rFonts w:ascii="Consolas" w:hAnsi="Consolas"/>
                <w:b w:val="0"/>
                <w:i w:val="0"/>
                <w:color w:val="8B1A3A"/>
                <w:sz w:val="15"/>
              </w:rPr>
              <w:t>ms-pagamentos</w:t>
            </w:r>
          </w:p>
        </w:tc>
        <w:tc>
          <w:tcPr>
            <w:tcW w:type="dxa" w:w="1553"/>
          </w:tcPr>
          <w:p>
            <w:pPr>
              <w:spacing w:after="0" w:line="240" w:lineRule="auto"/>
              <w:jc w:val="left"/>
            </w:pPr>
            <w:r/>
            <w:r>
              <w:rPr>
                <w:b w:val="0"/>
                <w:i w:val="0"/>
                <w:sz w:val="16"/>
              </w:rPr>
              <w:t>pagar próprio pedido, estornar sob regra</w:t>
            </w:r>
          </w:p>
        </w:tc>
        <w:tc>
          <w:tcPr>
            <w:tcW w:type="dxa" w:w="1553"/>
          </w:tcPr>
          <w:p>
            <w:pPr>
              <w:spacing w:after="0" w:line="240" w:lineRule="auto"/>
              <w:jc w:val="left"/>
            </w:pPr>
            <w:r/>
            <w:r>
              <w:rPr>
                <w:b w:val="0"/>
                <w:i w:val="0"/>
                <w:sz w:val="16"/>
              </w:rPr>
              <w:t>registrar pagamento</w:t>
            </w:r>
          </w:p>
        </w:tc>
        <w:tc>
          <w:tcPr>
            <w:tcW w:type="dxa" w:w="1553"/>
          </w:tcPr>
          <w:p>
            <w:pPr>
              <w:spacing w:after="0" w:line="240" w:lineRule="auto"/>
              <w:jc w:val="left"/>
            </w:pPr>
            <w:r/>
            <w:r>
              <w:rPr>
                <w:b w:val="0"/>
                <w:i w:val="0"/>
                <w:sz w:val="16"/>
              </w:rPr>
              <w:t>—</w:t>
            </w:r>
          </w:p>
        </w:tc>
        <w:tc>
          <w:tcPr>
            <w:tcW w:type="dxa" w:w="1553"/>
          </w:tcPr>
          <w:p>
            <w:pPr>
              <w:spacing w:after="0" w:line="240" w:lineRule="auto"/>
              <w:jc w:val="left"/>
            </w:pPr>
            <w:r/>
            <w:r>
              <w:rPr>
                <w:b w:val="0"/>
                <w:i w:val="0"/>
                <w:sz w:val="16"/>
              </w:rPr>
              <w:t>—</w:t>
            </w:r>
          </w:p>
        </w:tc>
        <w:tc>
          <w:tcPr>
            <w:tcW w:type="dxa" w:w="1553"/>
          </w:tcPr>
          <w:p>
            <w:pPr>
              <w:spacing w:after="0" w:line="240" w:lineRule="auto"/>
              <w:jc w:val="left"/>
            </w:pPr>
            <w:r/>
            <w:r>
              <w:rPr>
                <w:b w:val="0"/>
                <w:i w:val="0"/>
                <w:sz w:val="16"/>
              </w:rPr>
              <w:t>estornar</w:t>
            </w:r>
          </w:p>
        </w:tc>
      </w:tr>
      <w:tr>
        <w:tc>
          <w:tcPr>
            <w:tcW w:type="dxa" w:w="1871"/>
          </w:tcPr>
          <w:p>
            <w:pPr>
              <w:spacing w:after="0" w:line="240" w:lineRule="auto"/>
              <w:jc w:val="left"/>
            </w:pPr>
            <w:r/>
            <w:r>
              <w:rPr>
                <w:rFonts w:ascii="Consolas" w:hAnsi="Consolas"/>
                <w:b w:val="0"/>
                <w:i w:val="0"/>
                <w:color w:val="8B1A3A"/>
                <w:sz w:val="15"/>
              </w:rPr>
              <w:t>ms-analytics</w:t>
            </w:r>
          </w:p>
        </w:tc>
        <w:tc>
          <w:tcPr>
            <w:tcW w:type="dxa" w:w="1553"/>
          </w:tcPr>
          <w:p>
            <w:pPr>
              <w:spacing w:after="0" w:line="240" w:lineRule="auto"/>
              <w:jc w:val="left"/>
            </w:pPr>
            <w:r/>
            <w:r>
              <w:rPr>
                <w:b w:val="0"/>
                <w:i w:val="0"/>
                <w:sz w:val="16"/>
              </w:rPr>
              <w:t>—</w:t>
            </w:r>
          </w:p>
        </w:tc>
        <w:tc>
          <w:tcPr>
            <w:tcW w:type="dxa" w:w="1553"/>
          </w:tcPr>
          <w:p>
            <w:pPr>
              <w:spacing w:after="0" w:line="240" w:lineRule="auto"/>
              <w:jc w:val="left"/>
            </w:pPr>
            <w:r/>
            <w:r>
              <w:rPr>
                <w:b w:val="0"/>
                <w:i w:val="0"/>
                <w:sz w:val="16"/>
              </w:rPr>
              <w:t>indicadores da sua loja</w:t>
            </w:r>
          </w:p>
        </w:tc>
        <w:tc>
          <w:tcPr>
            <w:tcW w:type="dxa" w:w="1553"/>
          </w:tcPr>
          <w:p>
            <w:pPr>
              <w:spacing w:after="0" w:line="240" w:lineRule="auto"/>
              <w:jc w:val="left"/>
            </w:pPr>
            <w:r/>
            <w:r>
              <w:rPr>
                <w:b w:val="0"/>
                <w:i w:val="0"/>
                <w:sz w:val="16"/>
              </w:rPr>
              <w:t>—</w:t>
            </w:r>
          </w:p>
        </w:tc>
        <w:tc>
          <w:tcPr>
            <w:tcW w:type="dxa" w:w="1553"/>
          </w:tcPr>
          <w:p>
            <w:pPr>
              <w:spacing w:after="0" w:line="240" w:lineRule="auto"/>
              <w:jc w:val="left"/>
            </w:pPr>
            <w:r/>
            <w:r>
              <w:rPr>
                <w:b w:val="0"/>
                <w:i w:val="0"/>
                <w:sz w:val="16"/>
              </w:rPr>
              <w:t>indicadores de adega</w:t>
            </w:r>
          </w:p>
        </w:tc>
        <w:tc>
          <w:tcPr>
            <w:tcW w:type="dxa" w:w="1553"/>
          </w:tcPr>
          <w:p>
            <w:pPr>
              <w:spacing w:after="0" w:line="240" w:lineRule="auto"/>
              <w:jc w:val="left"/>
            </w:pPr>
            <w:r/>
            <w:r>
              <w:rPr>
                <w:b w:val="0"/>
                <w:i w:val="0"/>
                <w:sz w:val="16"/>
              </w:rPr>
              <w:t>total</w:t>
            </w:r>
          </w:p>
        </w:tc>
      </w:tr>
    </w:tbl>
    <w:p>
      <w:r>
        <w:rPr>
          <w:b w:val="0"/>
          <w:i w:val="0"/>
          <w:sz w:val="22"/>
        </w:rPr>
        <w:t xml:space="preserve">Exemplos de regra </w:t>
      </w:r>
      <w:r>
        <w:rPr>
          <w:b/>
          <w:i w:val="0"/>
          <w:sz w:val="22"/>
        </w:rPr>
        <w:t>ABAC</w:t>
      </w:r>
      <w:r>
        <w:rPr>
          <w:b w:val="0"/>
          <w:i w:val="0"/>
          <w:sz w:val="22"/>
        </w:rPr>
        <w:t xml:space="preserve"> (o papel não basta):</w:t>
      </w:r>
    </w:p>
    <w:p>
      <w:pPr>
        <w:pStyle w:val="ListBullet"/>
      </w:pPr>
      <w:r>
        <w:rPr>
          <w:rFonts w:ascii="Consolas" w:hAnsi="Consolas"/>
          <w:b w:val="0"/>
          <w:i w:val="0"/>
          <w:color w:val="8B1A3A"/>
          <w:sz w:val="21"/>
        </w:rPr>
        <w:t>enologo</w:t>
      </w:r>
      <w:r>
        <w:rPr>
          <w:b w:val="0"/>
          <w:i w:val="0"/>
          <w:sz w:val="22"/>
        </w:rPr>
        <w:t xml:space="preserve"> </w:t>
      </w:r>
      <w:r>
        <w:rPr>
          <w:b/>
          <w:i w:val="0"/>
          <w:sz w:val="22"/>
        </w:rPr>
        <w:t>só altera</w:t>
      </w:r>
      <w:r>
        <w:rPr>
          <w:b w:val="0"/>
          <w:i w:val="0"/>
          <w:sz w:val="22"/>
        </w:rPr>
        <w:t xml:space="preserve"> análise laboratorial enquanto o lote estiver no estado </w:t>
      </w:r>
      <w:r>
        <w:rPr>
          <w:rFonts w:ascii="Consolas" w:hAnsi="Consolas"/>
          <w:b w:val="0"/>
          <w:i w:val="0"/>
          <w:color w:val="8B1A3A"/>
          <w:sz w:val="21"/>
        </w:rPr>
        <w:t>em_analise</w:t>
      </w:r>
      <w:r>
        <w:rPr>
          <w:b w:val="0"/>
          <w:i w:val="0"/>
          <w:sz w:val="22"/>
        </w:rPr>
        <w:t xml:space="preserve"> — depois, apenas leitura e a alteração exige justificativa registrada.</w:t>
      </w:r>
    </w:p>
    <w:p>
      <w:pPr>
        <w:pStyle w:val="ListBullet"/>
      </w:pPr>
      <w:r>
        <w:rPr>
          <w:rFonts w:ascii="Consolas" w:hAnsi="Consolas"/>
          <w:b w:val="0"/>
          <w:i w:val="0"/>
          <w:color w:val="8B1A3A"/>
          <w:sz w:val="21"/>
        </w:rPr>
        <w:t>atendente</w:t>
      </w:r>
      <w:r>
        <w:rPr>
          <w:b w:val="0"/>
          <w:i w:val="0"/>
          <w:sz w:val="22"/>
        </w:rPr>
        <w:t xml:space="preserve"> só vê clientes da </w:t>
      </w:r>
      <w:r>
        <w:rPr>
          <w:b/>
          <w:i w:val="0"/>
          <w:sz w:val="22"/>
        </w:rPr>
        <w:t>sua</w:t>
      </w:r>
      <w:r>
        <w:rPr>
          <w:b w:val="0"/>
          <w:i w:val="0"/>
          <w:sz w:val="22"/>
        </w:rPr>
        <w:t xml:space="preserve"> loja (</w:t>
      </w:r>
      <w:r>
        <w:rPr>
          <w:rFonts w:ascii="Consolas" w:hAnsi="Consolas"/>
          <w:b w:val="0"/>
          <w:i w:val="0"/>
          <w:color w:val="8B1A3A"/>
          <w:sz w:val="21"/>
        </w:rPr>
        <w:t>cliente_loja == atendente.loja</w:t>
      </w:r>
      <w:r>
        <w:rPr>
          <w:b w:val="0"/>
          <w:i w:val="0"/>
          <w:sz w:val="22"/>
        </w:rPr>
        <w:t>) — é o mesmo problema de API1 (BOLA), resolvido por atributo e não por tela.</w:t>
      </w:r>
    </w:p>
    <w:p>
      <w:pPr>
        <w:pStyle w:val="ListBullet"/>
      </w:pPr>
      <w:r>
        <w:rPr>
          <w:rFonts w:ascii="Consolas" w:hAnsi="Consolas"/>
          <w:b w:val="0"/>
          <w:i w:val="0"/>
          <w:color w:val="8B1A3A"/>
          <w:sz w:val="21"/>
        </w:rPr>
        <w:t>gestor-adega</w:t>
      </w:r>
      <w:r>
        <w:rPr>
          <w:b w:val="0"/>
          <w:i w:val="0"/>
          <w:sz w:val="22"/>
        </w:rPr>
        <w:t xml:space="preserve"> só ajusta faixa de temperatura da </w:t>
      </w:r>
      <w:r>
        <w:rPr>
          <w:b/>
          <w:i w:val="0"/>
          <w:sz w:val="22"/>
        </w:rPr>
        <w:t>sua</w:t>
      </w:r>
      <w:r>
        <w:rPr>
          <w:b w:val="0"/>
          <w:i w:val="0"/>
          <w:sz w:val="22"/>
        </w:rPr>
        <w:t xml:space="preserve"> adega (</w:t>
      </w:r>
      <w:r>
        <w:rPr>
          <w:rFonts w:ascii="Consolas" w:hAnsi="Consolas"/>
          <w:b w:val="0"/>
          <w:i w:val="0"/>
          <w:color w:val="8B1A3A"/>
          <w:sz w:val="21"/>
        </w:rPr>
        <w:t>adegaId</w:t>
      </w:r>
      <w:r>
        <w:rPr>
          <w:b w:val="0"/>
          <w:i w:val="0"/>
          <w:sz w:val="22"/>
        </w:rPr>
        <w:t xml:space="preserve"> presente no token/atributo).</w:t>
      </w:r>
    </w:p>
    <w:p>
      <w:pPr>
        <w:pStyle w:val="ListBullet"/>
      </w:pPr>
      <w:r>
        <w:rPr>
          <w:b w:val="0"/>
          <w:i w:val="0"/>
          <w:sz w:val="22"/>
        </w:rPr>
        <w:t xml:space="preserve">Alteração de preço de catálogo acima de um percentual exige </w:t>
      </w:r>
      <w:r>
        <w:rPr>
          <w:rFonts w:ascii="Consolas" w:hAnsi="Consolas"/>
          <w:b w:val="0"/>
          <w:i w:val="0"/>
          <w:color w:val="8B1A3A"/>
          <w:sz w:val="21"/>
        </w:rPr>
        <w:t>admin</w:t>
      </w:r>
      <w:r>
        <w:rPr>
          <w:b w:val="0"/>
          <w:i w:val="0"/>
          <w:sz w:val="22"/>
        </w:rPr>
        <w:t xml:space="preserve"> (dupla aprovação: </w:t>
      </w:r>
      <w:r>
        <w:rPr>
          <w:rFonts w:ascii="Consolas" w:hAnsi="Consolas"/>
          <w:b w:val="0"/>
          <w:i w:val="0"/>
          <w:color w:val="8B1A3A"/>
          <w:sz w:val="21"/>
        </w:rPr>
        <w:t>admin</w:t>
      </w:r>
      <w:r>
        <w:rPr>
          <w:b w:val="0"/>
          <w:i w:val="0"/>
          <w:sz w:val="22"/>
        </w:rPr>
        <w:t xml:space="preserve"> + </w:t>
      </w:r>
      <w:r>
        <w:rPr>
          <w:rFonts w:ascii="Consolas" w:hAnsi="Consolas"/>
          <w:b w:val="0"/>
          <w:i w:val="0"/>
          <w:color w:val="8B1A3A"/>
          <w:sz w:val="21"/>
        </w:rPr>
        <w:t>gestor-adega</w:t>
      </w:r>
      <w:r>
        <w:rPr>
          <w:b w:val="0"/>
          <w:i w:val="0"/>
          <w:sz w:val="22"/>
        </w:rPr>
        <w:t>).</w:t>
      </w:r>
    </w:p>
    <w:p>
      <w:r>
        <w:rPr>
          <w:b/>
          <w:i w:val="0"/>
          <w:sz w:val="22"/>
        </w:rPr>
        <w:t>Como é aplicado (e onde não é):</w:t>
      </w:r>
      <w:r>
        <w:rPr>
          <w:b w:val="0"/>
          <w:i w:val="0"/>
          <w:sz w:val="22"/>
        </w:rPr>
        <w:t xml:space="preserve"> a autorização é decidida </w:t>
      </w:r>
      <w:r>
        <w:rPr>
          <w:b/>
          <w:i w:val="0"/>
          <w:sz w:val="22"/>
        </w:rPr>
        <w:t>no serviço dono do dado</w:t>
      </w:r>
      <w:r>
        <w:rPr>
          <w:b w:val="0"/>
          <w:i w:val="0"/>
          <w:sz w:val="22"/>
        </w:rPr>
        <w:t xml:space="preserve">, com o contexto vindo do token (papel + atributos). O gateway faz a </w:t>
      </w:r>
      <w:r>
        <w:rPr>
          <w:b/>
          <w:i w:val="0"/>
          <w:sz w:val="22"/>
        </w:rPr>
        <w:t>autorização grossa</w:t>
      </w:r>
      <w:r>
        <w:rPr>
          <w:b w:val="0"/>
          <w:i w:val="0"/>
          <w:sz w:val="22"/>
        </w:rPr>
        <w:t xml:space="preserve"> (token válido? escopo da rota?) e o serviço faz a </w:t>
      </w:r>
      <w:r>
        <w:rPr>
          <w:b/>
          <w:i w:val="0"/>
          <w:sz w:val="22"/>
        </w:rPr>
        <w:t>autorização fina</w:t>
      </w:r>
      <w:r>
        <w:rPr>
          <w:b w:val="0"/>
          <w:i w:val="0"/>
          <w:sz w:val="22"/>
        </w:rPr>
        <w:t xml:space="preserve"> (esse usuário pode esse objeto?). Nunca se decide autorização em tela ou em JavaScript de front-end.</w:t>
      </w:r>
    </w:p>
    <w:p>
      <w:r>
        <w:rPr>
          <w:b/>
          <w:i w:val="0"/>
          <w:sz w:val="22"/>
        </w:rPr>
        <w:t>Propagação:</w:t>
      </w:r>
      <w:r>
        <w:rPr>
          <w:b w:val="0"/>
          <w:i w:val="0"/>
          <w:sz w:val="22"/>
        </w:rPr>
        <w:t xml:space="preserve"> o gateway encaminha a identidade em cabeçalho assinado (</w:t>
      </w:r>
      <w:r>
        <w:rPr>
          <w:rFonts w:ascii="Consolas" w:hAnsi="Consolas"/>
          <w:b w:val="0"/>
          <w:i w:val="0"/>
          <w:color w:val="8B1A3A"/>
          <w:sz w:val="21"/>
        </w:rPr>
        <w:t>X-Identidade</w:t>
      </w:r>
      <w:r>
        <w:rPr>
          <w:b w:val="0"/>
          <w:i w:val="0"/>
          <w:sz w:val="22"/>
        </w:rPr>
        <w:t xml:space="preserve"> + assinatura do gateway) junto do </w:t>
      </w:r>
      <w:r>
        <w:rPr>
          <w:rFonts w:ascii="Consolas" w:hAnsi="Consolas"/>
          <w:b w:val="0"/>
          <w:i w:val="0"/>
          <w:color w:val="8B1A3A"/>
          <w:sz w:val="21"/>
        </w:rPr>
        <w:t>traceId</w:t>
      </w:r>
      <w:r>
        <w:rPr>
          <w:b w:val="0"/>
          <w:i w:val="0"/>
          <w:sz w:val="22"/>
        </w:rPr>
        <w:t xml:space="preserve">; o serviço valida a assinatura do gateway, o que impede um cliente de forjar </w:t>
      </w:r>
      <w:r>
        <w:rPr>
          <w:rFonts w:ascii="Consolas" w:hAnsi="Consolas"/>
          <w:b w:val="0"/>
          <w:i w:val="0"/>
          <w:color w:val="8B1A3A"/>
          <w:sz w:val="21"/>
        </w:rPr>
        <w:t>X-Identidade</w:t>
      </w:r>
      <w:r>
        <w:rPr>
          <w:b w:val="0"/>
          <w:i w:val="0"/>
          <w:sz w:val="22"/>
        </w:rPr>
        <w:t xml:space="preserve"> direto contra um serviço.</w:t>
      </w:r>
    </w:p>
    <w:p>
      <w:pPr>
        <w:pStyle w:val="Heading2"/>
      </w:pPr>
      <w:r>
        <w:rPr>
          <w:b w:val="0"/>
          <w:i w:val="0"/>
          <w:sz w:val="22"/>
        </w:rPr>
        <w:t>5.5 Escalabilidade</w:t>
      </w:r>
    </w:p>
    <w:p>
      <w:pPr>
        <w:keepNext/>
        <w:spacing w:after="60" w:before="0"/>
        <w:jc w:val="left"/>
      </w:pPr>
      <w:r>
        <w:rPr>
          <w:b w:val="0"/>
          <w:i/>
          <w:color w:val="595959"/>
          <w:sz w:val="19"/>
        </w:rPr>
        <w:t>Tabela 20 — Escalabilidade: frente, decisão e justificativa</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1701"/>
            <w:shd w:val="clear" w:fill="F4E7EB"/>
          </w:tcPr>
          <w:p>
            <w:pPr>
              <w:spacing w:after="0"/>
              <w:jc w:val="left"/>
            </w:pPr>
            <w:r>
              <w:rPr>
                <w:b/>
              </w:rPr>
            </w:r>
            <w:r>
              <w:rPr>
                <w:b/>
                <w:i w:val="0"/>
                <w:sz w:val="19"/>
              </w:rPr>
              <w:t>Frente</w:t>
            </w:r>
          </w:p>
        </w:tc>
        <w:tc>
          <w:tcPr>
            <w:tcW w:type="dxa" w:w="4252"/>
            <w:shd w:val="clear" w:fill="F4E7EB"/>
          </w:tcPr>
          <w:p>
            <w:pPr>
              <w:spacing w:after="0"/>
              <w:jc w:val="left"/>
            </w:pPr>
            <w:r>
              <w:rPr>
                <w:b/>
              </w:rPr>
            </w:r>
            <w:r>
              <w:rPr>
                <w:b/>
                <w:i w:val="0"/>
                <w:sz w:val="19"/>
              </w:rPr>
              <w:t>Decisão</w:t>
            </w:r>
          </w:p>
        </w:tc>
        <w:tc>
          <w:tcPr>
            <w:tcW w:type="dxa" w:w="3685"/>
            <w:shd w:val="clear" w:fill="F4E7EB"/>
          </w:tcPr>
          <w:p>
            <w:pPr>
              <w:spacing w:after="0"/>
              <w:jc w:val="left"/>
            </w:pPr>
            <w:r>
              <w:rPr>
                <w:b/>
              </w:rPr>
            </w:r>
            <w:r>
              <w:rPr>
                <w:b/>
                <w:i w:val="0"/>
                <w:sz w:val="19"/>
              </w:rPr>
              <w:t>Por que é necessário no nosso caso</w:t>
            </w:r>
          </w:p>
        </w:tc>
      </w:tr>
      <w:tr>
        <w:tc>
          <w:tcPr>
            <w:tcW w:type="dxa" w:w="1701"/>
          </w:tcPr>
          <w:p>
            <w:pPr>
              <w:spacing w:after="0" w:line="240" w:lineRule="auto"/>
              <w:jc w:val="left"/>
            </w:pPr>
            <w:r/>
            <w:r>
              <w:rPr>
                <w:b w:val="0"/>
                <w:i w:val="0"/>
                <w:sz w:val="19"/>
              </w:rPr>
              <w:t xml:space="preserve">Serviços </w:t>
            </w:r>
            <w:r>
              <w:rPr>
                <w:b w:val="0"/>
                <w:i/>
                <w:sz w:val="19"/>
              </w:rPr>
              <w:t>stateless</w:t>
            </w:r>
          </w:p>
        </w:tc>
        <w:tc>
          <w:tcPr>
            <w:tcW w:type="dxa" w:w="4252"/>
          </w:tcPr>
          <w:p>
            <w:pPr>
              <w:spacing w:after="0" w:line="240" w:lineRule="auto"/>
              <w:jc w:val="left"/>
            </w:pPr>
            <w:r/>
            <w:r>
              <w:rPr>
                <w:b w:val="0"/>
                <w:i w:val="0"/>
                <w:sz w:val="19"/>
              </w:rPr>
              <w:t>Nenhum estado de sessão no processo; identidade em JWT, não em sessão de servidor</w:t>
            </w:r>
          </w:p>
        </w:tc>
        <w:tc>
          <w:tcPr>
            <w:tcW w:type="dxa" w:w="3685"/>
          </w:tcPr>
          <w:p>
            <w:pPr>
              <w:spacing w:after="0" w:line="240" w:lineRule="auto"/>
              <w:jc w:val="left"/>
            </w:pPr>
            <w:r/>
            <w:r>
              <w:rPr>
                <w:b w:val="0"/>
                <w:i w:val="0"/>
                <w:sz w:val="19"/>
              </w:rPr>
              <w:t xml:space="preserve">É a causa raiz de hoje: </w:t>
            </w:r>
            <w:r>
              <w:rPr>
                <w:rFonts w:ascii="Consolas" w:hAnsi="Consolas"/>
                <w:b w:val="0"/>
                <w:i w:val="0"/>
                <w:color w:val="8B1A3A"/>
                <w:sz w:val="18"/>
              </w:rPr>
              <w:t>InMemoryDatabase</w:t>
            </w:r>
            <w:r>
              <w:rPr>
                <w:b w:val="0"/>
                <w:i w:val="0"/>
                <w:sz w:val="19"/>
              </w:rPr>
              <w:t xml:space="preserve"> guarda sessão e credencial no processo do Servlet — reiniciar derruba a sessão e duas instâncias divergem</w:t>
            </w:r>
          </w:p>
        </w:tc>
      </w:tr>
      <w:tr>
        <w:tc>
          <w:tcPr>
            <w:tcW w:type="dxa" w:w="1701"/>
          </w:tcPr>
          <w:p>
            <w:pPr>
              <w:spacing w:after="0" w:line="240" w:lineRule="auto"/>
              <w:jc w:val="left"/>
            </w:pPr>
            <w:r/>
            <w:r>
              <w:rPr>
                <w:b w:val="0"/>
                <w:i w:val="0"/>
                <w:sz w:val="19"/>
              </w:rPr>
              <w:t>Autoscaling horizontal</w:t>
            </w:r>
          </w:p>
        </w:tc>
        <w:tc>
          <w:tcPr>
            <w:tcW w:type="dxa" w:w="4252"/>
          </w:tcPr>
          <w:p>
            <w:pPr>
              <w:spacing w:after="0" w:line="240" w:lineRule="auto"/>
              <w:jc w:val="left"/>
            </w:pPr>
            <w:r/>
            <w:r>
              <w:rPr>
                <w:b w:val="0"/>
                <w:i w:val="0"/>
                <w:sz w:val="19"/>
              </w:rPr>
              <w:t>HPA por CPU (70%) e por RPS/requisição por pod; mínimo 2 réplicas nos serviços de núcleo</w:t>
            </w:r>
          </w:p>
        </w:tc>
        <w:tc>
          <w:tcPr>
            <w:tcW w:type="dxa" w:w="3685"/>
          </w:tcPr>
          <w:p>
            <w:pPr>
              <w:spacing w:after="0" w:line="240" w:lineRule="auto"/>
              <w:jc w:val="left"/>
            </w:pPr>
            <w:r/>
            <w:r>
              <w:rPr>
                <w:b w:val="0"/>
                <w:i w:val="0"/>
                <w:sz w:val="19"/>
              </w:rPr>
              <w:t>Pico sazonal: Dia dos Namorados e Natal concentram venda em poucos dias</w:t>
            </w:r>
          </w:p>
        </w:tc>
      </w:tr>
      <w:tr>
        <w:tc>
          <w:tcPr>
            <w:tcW w:type="dxa" w:w="1701"/>
          </w:tcPr>
          <w:p>
            <w:pPr>
              <w:spacing w:after="0" w:line="240" w:lineRule="auto"/>
              <w:jc w:val="left"/>
            </w:pPr>
            <w:r/>
            <w:r>
              <w:rPr>
                <w:b w:val="0"/>
                <w:i w:val="0"/>
                <w:sz w:val="19"/>
              </w:rPr>
              <w:t>Cache de leitura</w:t>
            </w:r>
          </w:p>
        </w:tc>
        <w:tc>
          <w:tcPr>
            <w:tcW w:type="dxa" w:w="4252"/>
          </w:tcPr>
          <w:p>
            <w:pPr>
              <w:spacing w:after="0" w:line="240" w:lineRule="auto"/>
              <w:jc w:val="left"/>
            </w:pPr>
            <w:r/>
            <w:r>
              <w:rPr>
                <w:b w:val="0"/>
                <w:i w:val="0"/>
                <w:sz w:val="19"/>
              </w:rPr>
              <w:t>Redis para catálogo (TTL 60 s) e para o rate limit distribuído</w:t>
            </w:r>
          </w:p>
        </w:tc>
        <w:tc>
          <w:tcPr>
            <w:tcW w:type="dxa" w:w="3685"/>
          </w:tcPr>
          <w:p>
            <w:pPr>
              <w:spacing w:after="0" w:line="240" w:lineRule="auto"/>
              <w:jc w:val="left"/>
            </w:pPr>
            <w:r/>
            <w:r>
              <w:rPr>
                <w:b w:val="0"/>
                <w:i w:val="0"/>
                <w:sz w:val="19"/>
              </w:rPr>
              <w:t xml:space="preserve">Catálogo é ~90% leitura; o </w:t>
            </w:r>
            <w:r>
              <w:rPr>
                <w:b w:val="0"/>
                <w:i/>
                <w:sz w:val="19"/>
              </w:rPr>
              <w:t>rate limit</w:t>
            </w:r>
            <w:r>
              <w:rPr>
                <w:b w:val="0"/>
                <w:i w:val="0"/>
                <w:sz w:val="19"/>
              </w:rPr>
              <w:t xml:space="preserve"> precisa de contador compartilhado entre réplicas</w:t>
            </w:r>
          </w:p>
        </w:tc>
      </w:tr>
      <w:tr>
        <w:tc>
          <w:tcPr>
            <w:tcW w:type="dxa" w:w="1701"/>
          </w:tcPr>
          <w:p>
            <w:pPr>
              <w:spacing w:after="0" w:line="240" w:lineRule="auto"/>
              <w:jc w:val="left"/>
            </w:pPr>
            <w:r/>
            <w:r>
              <w:rPr>
                <w:b w:val="0"/>
                <w:i w:val="0"/>
                <w:sz w:val="19"/>
              </w:rPr>
              <w:t>Réplica de leitura</w:t>
            </w:r>
          </w:p>
        </w:tc>
        <w:tc>
          <w:tcPr>
            <w:tcW w:type="dxa" w:w="4252"/>
          </w:tcPr>
          <w:p>
            <w:pPr>
              <w:spacing w:after="0" w:line="240" w:lineRule="auto"/>
              <w:jc w:val="left"/>
            </w:pPr>
            <w:r/>
            <w:r>
              <w:rPr>
                <w:b w:val="0"/>
                <w:i w:val="0"/>
                <w:sz w:val="19"/>
              </w:rPr>
              <w:t>Uma réplica de leitura por serviço de núcleo; escrita no primário</w:t>
            </w:r>
          </w:p>
        </w:tc>
        <w:tc>
          <w:tcPr>
            <w:tcW w:type="dxa" w:w="3685"/>
          </w:tcPr>
          <w:p>
            <w:pPr>
              <w:spacing w:after="0" w:line="240" w:lineRule="auto"/>
              <w:jc w:val="left"/>
            </w:pPr>
            <w:r/>
            <w:r>
              <w:rPr>
                <w:b w:val="0"/>
                <w:i w:val="0"/>
                <w:sz w:val="19"/>
              </w:rPr>
              <w:t>Relatório e catálogo não competem com a escrita do pedido</w:t>
            </w:r>
          </w:p>
        </w:tc>
      </w:tr>
      <w:tr>
        <w:tc>
          <w:tcPr>
            <w:tcW w:type="dxa" w:w="1701"/>
          </w:tcPr>
          <w:p>
            <w:pPr>
              <w:spacing w:after="0" w:line="240" w:lineRule="auto"/>
              <w:jc w:val="left"/>
            </w:pPr>
            <w:r/>
            <w:r>
              <w:rPr>
                <w:b w:val="0"/>
                <w:i w:val="0"/>
                <w:sz w:val="19"/>
              </w:rPr>
              <w:t>Particionamento de eventos</w:t>
            </w:r>
          </w:p>
        </w:tc>
        <w:tc>
          <w:tcPr>
            <w:tcW w:type="dxa" w:w="4252"/>
          </w:tcPr>
          <w:p>
            <w:pPr>
              <w:spacing w:after="0" w:line="240" w:lineRule="auto"/>
              <w:jc w:val="left"/>
            </w:pPr>
            <w:r/>
            <w:r>
              <w:rPr>
                <w:b w:val="0"/>
                <w:i w:val="0"/>
                <w:sz w:val="19"/>
              </w:rPr>
              <w:t xml:space="preserve">Kafka particionado por chave: </w:t>
            </w:r>
            <w:r>
              <w:rPr>
                <w:rFonts w:ascii="Consolas" w:hAnsi="Consolas"/>
                <w:b w:val="0"/>
                <w:i w:val="0"/>
                <w:color w:val="8B1A3A"/>
                <w:sz w:val="18"/>
              </w:rPr>
              <w:t>loteId</w:t>
            </w:r>
            <w:r>
              <w:rPr>
                <w:b w:val="0"/>
                <w:i w:val="0"/>
                <w:sz w:val="19"/>
              </w:rPr>
              <w:t xml:space="preserve"> (ordem preservada </w:t>
            </w:r>
            <w:r>
              <w:rPr>
                <w:b/>
                <w:i w:val="0"/>
                <w:sz w:val="19"/>
              </w:rPr>
              <w:t>por lote</w:t>
            </w:r>
            <w:r>
              <w:rPr>
                <w:b w:val="0"/>
                <w:i w:val="0"/>
                <w:sz w:val="19"/>
              </w:rPr>
              <w:t xml:space="preserve">) e </w:t>
            </w:r>
            <w:r>
              <w:rPr>
                <w:rFonts w:ascii="Consolas" w:hAnsi="Consolas"/>
                <w:b w:val="0"/>
                <w:i w:val="0"/>
                <w:color w:val="8B1A3A"/>
                <w:sz w:val="18"/>
              </w:rPr>
              <w:t>pedidoId</w:t>
            </w:r>
          </w:p>
        </w:tc>
        <w:tc>
          <w:tcPr>
            <w:tcW w:type="dxa" w:w="3685"/>
          </w:tcPr>
          <w:p>
            <w:pPr>
              <w:spacing w:after="0" w:line="240" w:lineRule="auto"/>
              <w:jc w:val="left"/>
            </w:pPr>
            <w:r/>
            <w:r>
              <w:rPr>
                <w:b w:val="0"/>
                <w:i w:val="0"/>
                <w:sz w:val="19"/>
              </w:rPr>
              <w:t>Ordem por lote é regra de negócio (genealogia e rastreio); ordem global não é necessária</w:t>
            </w:r>
          </w:p>
        </w:tc>
      </w:tr>
      <w:tr>
        <w:tc>
          <w:tcPr>
            <w:tcW w:type="dxa" w:w="1701"/>
          </w:tcPr>
          <w:p>
            <w:pPr>
              <w:spacing w:after="0" w:line="240" w:lineRule="auto"/>
              <w:jc w:val="left"/>
            </w:pPr>
            <w:r/>
            <w:r>
              <w:rPr>
                <w:b w:val="0"/>
                <w:i w:val="0"/>
                <w:sz w:val="19"/>
              </w:rPr>
              <w:t>Telemetria da adega</w:t>
            </w:r>
          </w:p>
        </w:tc>
        <w:tc>
          <w:tcPr>
            <w:tcW w:type="dxa" w:w="4252"/>
          </w:tcPr>
          <w:p>
            <w:pPr>
              <w:spacing w:after="0" w:line="240" w:lineRule="auto"/>
              <w:jc w:val="left"/>
            </w:pPr>
            <w:r/>
            <w:r>
              <w:rPr>
                <w:b w:val="0"/>
                <w:i w:val="0"/>
                <w:sz w:val="19"/>
              </w:rPr>
              <w:t xml:space="preserve">Tópico particionado por </w:t>
            </w:r>
            <w:r>
              <w:rPr>
                <w:rFonts w:ascii="Consolas" w:hAnsi="Consolas"/>
                <w:b w:val="0"/>
                <w:i w:val="0"/>
                <w:color w:val="8B1A3A"/>
                <w:sz w:val="18"/>
              </w:rPr>
              <w:t>deviceId</w:t>
            </w:r>
            <w:r>
              <w:rPr>
                <w:b w:val="0"/>
                <w:i w:val="0"/>
                <w:sz w:val="19"/>
              </w:rPr>
              <w:t xml:space="preserve">, com escrita em banco de série temporal e </w:t>
            </w:r>
            <w:r>
              <w:rPr>
                <w:b w:val="0"/>
                <w:i/>
                <w:sz w:val="19"/>
              </w:rPr>
              <w:t>batching</w:t>
            </w:r>
          </w:p>
        </w:tc>
        <w:tc>
          <w:tcPr>
            <w:tcW w:type="dxa" w:w="3685"/>
          </w:tcPr>
          <w:p>
            <w:pPr>
              <w:spacing w:after="0" w:line="240" w:lineRule="auto"/>
              <w:jc w:val="left"/>
            </w:pPr>
            <w:r/>
            <w:r>
              <w:rPr>
                <w:b w:val="0"/>
                <w:i w:val="0"/>
                <w:sz w:val="19"/>
              </w:rPr>
              <w:t xml:space="preserve">Com a leitura a cada </w:t>
            </w:r>
            <w:r>
              <w:rPr>
                <w:b/>
                <w:i w:val="0"/>
                <w:sz w:val="19"/>
              </w:rPr>
              <w:t>4 s</w:t>
            </w:r>
            <w:r>
              <w:rPr>
                <w:b w:val="0"/>
                <w:i w:val="0"/>
                <w:sz w:val="19"/>
              </w:rPr>
              <w:t xml:space="preserve"> (</w:t>
            </w:r>
            <w:r>
              <w:rPr>
                <w:rFonts w:ascii="Consolas" w:hAnsi="Consolas"/>
                <w:b w:val="0"/>
                <w:i w:val="0"/>
                <w:color w:val="8B1A3A"/>
                <w:sz w:val="18"/>
              </w:rPr>
              <w:t>INTERVALO_LEITURA_MS = 4000</w:t>
            </w:r>
            <w:r>
              <w:rPr>
                <w:b w:val="0"/>
                <w:i w:val="0"/>
                <w:sz w:val="19"/>
              </w:rPr>
              <w:t xml:space="preserve"> no firmware), 50 adegas já geram ~12,5 mensagens/s contínuas, 24 h por dia</w:t>
            </w:r>
          </w:p>
        </w:tc>
      </w:tr>
      <w:tr>
        <w:tc>
          <w:tcPr>
            <w:tcW w:type="dxa" w:w="1701"/>
          </w:tcPr>
          <w:p>
            <w:pPr>
              <w:spacing w:after="0" w:line="240" w:lineRule="auto"/>
              <w:jc w:val="left"/>
            </w:pPr>
            <w:r/>
            <w:r>
              <w:rPr>
                <w:b w:val="0"/>
                <w:i w:val="0"/>
                <w:sz w:val="19"/>
              </w:rPr>
              <w:t>Banco por serviço</w:t>
            </w:r>
          </w:p>
        </w:tc>
        <w:tc>
          <w:tcPr>
            <w:tcW w:type="dxa" w:w="4252"/>
          </w:tcPr>
          <w:p>
            <w:pPr>
              <w:spacing w:after="0" w:line="240" w:lineRule="auto"/>
              <w:jc w:val="left"/>
            </w:pPr>
            <w:r/>
            <w:r>
              <w:rPr>
                <w:b w:val="0"/>
                <w:i w:val="0"/>
                <w:sz w:val="19"/>
              </w:rPr>
              <w:t>Um banco por serviço (PostgreSQL), MongoDB para catálogo, série temporal para telemetria</w:t>
            </w:r>
          </w:p>
        </w:tc>
        <w:tc>
          <w:tcPr>
            <w:tcW w:type="dxa" w:w="3685"/>
          </w:tcPr>
          <w:p>
            <w:pPr>
              <w:spacing w:after="0" w:line="240" w:lineRule="auto"/>
              <w:jc w:val="left"/>
            </w:pPr>
            <w:r/>
            <w:r>
              <w:rPr>
                <w:b w:val="0"/>
                <w:i w:val="0"/>
                <w:sz w:val="19"/>
              </w:rPr>
              <w:t>Substitui o SQLite de arquivo único compartilhado, que é o gargalo e o acoplamento atual</w:t>
            </w:r>
          </w:p>
        </w:tc>
      </w:tr>
      <w:tr>
        <w:tc>
          <w:tcPr>
            <w:tcW w:type="dxa" w:w="1701"/>
          </w:tcPr>
          <w:p>
            <w:pPr>
              <w:spacing w:after="0" w:line="240" w:lineRule="auto"/>
              <w:jc w:val="left"/>
            </w:pPr>
            <w:r/>
            <w:r>
              <w:rPr>
                <w:b w:val="0"/>
                <w:i w:val="0"/>
                <w:sz w:val="19"/>
              </w:rPr>
              <w:t>Migração gradual</w:t>
            </w:r>
          </w:p>
        </w:tc>
        <w:tc>
          <w:tcPr>
            <w:tcW w:type="dxa" w:w="4252"/>
          </w:tcPr>
          <w:p>
            <w:pPr>
              <w:spacing w:after="0" w:line="240" w:lineRule="auto"/>
              <w:jc w:val="left"/>
            </w:pPr>
            <w:r/>
            <w:r>
              <w:rPr>
                <w:b w:val="0"/>
                <w:i/>
                <w:sz w:val="19"/>
              </w:rPr>
              <w:t>Strangler Fig</w:t>
            </w:r>
            <w:r>
              <w:rPr>
                <w:b w:val="0"/>
                <w:i w:val="0"/>
                <w:sz w:val="19"/>
              </w:rPr>
              <w:t>: o gateway passa a rotear domínio por domínio; o monolito continua respondendo o resto</w:t>
            </w:r>
          </w:p>
        </w:tc>
        <w:tc>
          <w:tcPr>
            <w:tcW w:type="dxa" w:w="3685"/>
          </w:tcPr>
          <w:p>
            <w:pPr>
              <w:spacing w:after="0" w:line="240" w:lineRule="auto"/>
              <w:jc w:val="left"/>
            </w:pPr>
            <w:r/>
            <w:r>
              <w:rPr>
                <w:b w:val="0"/>
                <w:i w:val="0"/>
                <w:sz w:val="19"/>
              </w:rPr>
              <w:t>Permite escalar por domínio sem reescrever tudo de uma vez</w:t>
            </w:r>
          </w:p>
        </w:tc>
      </w:tr>
    </w:tbl>
    <w:p>
      <w:pPr>
        <w:pStyle w:val="Heading2"/>
      </w:pPr>
      <w:r>
        <w:rPr>
          <w:b w:val="0"/>
          <w:i w:val="0"/>
          <w:sz w:val="22"/>
        </w:rPr>
        <w:t>5.6 Resiliência</w:t>
      </w:r>
    </w:p>
    <w:p>
      <w:pPr>
        <w:pStyle w:val="Heading3"/>
      </w:pPr>
      <w:r>
        <w:rPr>
          <w:b w:val="0"/>
          <w:i w:val="0"/>
          <w:sz w:val="22"/>
        </w:rPr>
        <w:t>5.6.1 Padrões de falha aplicados</w:t>
      </w:r>
    </w:p>
    <w:p>
      <w:pPr>
        <w:keepNext/>
        <w:spacing w:after="60" w:before="0"/>
        <w:jc w:val="left"/>
      </w:pPr>
      <w:r>
        <w:rPr>
          <w:b w:val="0"/>
          <w:i/>
          <w:color w:val="595959"/>
          <w:sz w:val="19"/>
        </w:rPr>
        <w:t>Tabela 21 — Resiliência: padrão de falha, aplicação concreta e parâmetro</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1814"/>
            <w:shd w:val="clear" w:fill="F4E7EB"/>
          </w:tcPr>
          <w:p>
            <w:pPr>
              <w:spacing w:after="0"/>
              <w:jc w:val="left"/>
            </w:pPr>
            <w:r>
              <w:rPr>
                <w:b/>
              </w:rPr>
            </w:r>
            <w:r>
              <w:rPr>
                <w:b/>
                <w:i w:val="0"/>
                <w:sz w:val="19"/>
              </w:rPr>
              <w:t>Padrão</w:t>
            </w:r>
          </w:p>
        </w:tc>
        <w:tc>
          <w:tcPr>
            <w:tcW w:type="dxa" w:w="4706"/>
            <w:shd w:val="clear" w:fill="F4E7EB"/>
          </w:tcPr>
          <w:p>
            <w:pPr>
              <w:spacing w:after="0"/>
              <w:jc w:val="left"/>
            </w:pPr>
            <w:r>
              <w:rPr>
                <w:b/>
              </w:rPr>
            </w:r>
            <w:r>
              <w:rPr>
                <w:b/>
                <w:i w:val="0"/>
                <w:sz w:val="19"/>
              </w:rPr>
              <w:t>Aplicação concreta</w:t>
            </w:r>
          </w:p>
        </w:tc>
        <w:tc>
          <w:tcPr>
            <w:tcW w:type="dxa" w:w="3118"/>
            <w:shd w:val="clear" w:fill="F4E7EB"/>
          </w:tcPr>
          <w:p>
            <w:pPr>
              <w:spacing w:after="0"/>
              <w:jc w:val="left"/>
            </w:pPr>
            <w:r>
              <w:rPr>
                <w:b/>
              </w:rPr>
            </w:r>
            <w:r>
              <w:rPr>
                <w:b/>
                <w:i w:val="0"/>
                <w:sz w:val="19"/>
              </w:rPr>
              <w:t>Parâmetro</w:t>
            </w:r>
          </w:p>
        </w:tc>
      </w:tr>
      <w:tr>
        <w:tc>
          <w:tcPr>
            <w:tcW w:type="dxa" w:w="1814"/>
          </w:tcPr>
          <w:p>
            <w:pPr>
              <w:spacing w:after="0" w:line="240" w:lineRule="auto"/>
              <w:jc w:val="left"/>
            </w:pPr>
            <w:r/>
            <w:r>
              <w:rPr>
                <w:b w:val="0"/>
                <w:i w:val="0"/>
                <w:sz w:val="19"/>
              </w:rPr>
              <w:t>Timeout</w:t>
            </w:r>
          </w:p>
        </w:tc>
        <w:tc>
          <w:tcPr>
            <w:tcW w:type="dxa" w:w="4706"/>
          </w:tcPr>
          <w:p>
            <w:pPr>
              <w:spacing w:after="0" w:line="240" w:lineRule="auto"/>
              <w:jc w:val="left"/>
            </w:pPr>
            <w:r/>
            <w:r>
              <w:rPr>
                <w:b w:val="0"/>
                <w:i w:val="0"/>
                <w:sz w:val="19"/>
              </w:rPr>
              <w:t>Toda chamada síncrona tem prazo: catálogo 2 s, estoque 3 s, pagamento 5 s</w:t>
            </w:r>
          </w:p>
        </w:tc>
        <w:tc>
          <w:tcPr>
            <w:tcW w:type="dxa" w:w="3118"/>
          </w:tcPr>
          <w:p>
            <w:pPr>
              <w:spacing w:after="0" w:line="240" w:lineRule="auto"/>
              <w:jc w:val="left"/>
            </w:pPr>
            <w:r/>
            <w:r>
              <w:rPr>
                <w:b w:val="0"/>
                <w:i w:val="0"/>
                <w:sz w:val="19"/>
              </w:rPr>
              <w:t>Nenhuma chamada sem prazo; prazo do gateway sempre maior que o do serviço</w:t>
            </w:r>
          </w:p>
        </w:tc>
      </w:tr>
      <w:tr>
        <w:tc>
          <w:tcPr>
            <w:tcW w:type="dxa" w:w="1814"/>
          </w:tcPr>
          <w:p>
            <w:pPr>
              <w:spacing w:after="0" w:line="240" w:lineRule="auto"/>
              <w:jc w:val="left"/>
            </w:pPr>
            <w:r/>
            <w:r>
              <w:rPr>
                <w:b w:val="0"/>
                <w:i w:val="0"/>
                <w:sz w:val="19"/>
              </w:rPr>
              <w:t>Retry com backoff + jitter</w:t>
            </w:r>
          </w:p>
        </w:tc>
        <w:tc>
          <w:tcPr>
            <w:tcW w:type="dxa" w:w="4706"/>
          </w:tcPr>
          <w:p>
            <w:pPr>
              <w:spacing w:after="0" w:line="240" w:lineRule="auto"/>
              <w:jc w:val="left"/>
            </w:pPr>
            <w:r/>
            <w:r>
              <w:rPr>
                <w:b w:val="0"/>
                <w:i w:val="0"/>
                <w:sz w:val="19"/>
              </w:rPr>
              <w:t>Só em operação idempotente (</w:t>
            </w:r>
            <w:r>
              <w:rPr>
                <w:rFonts w:ascii="Consolas" w:hAnsi="Consolas"/>
                <w:b w:val="0"/>
                <w:i w:val="0"/>
                <w:color w:val="8B1A3A"/>
                <w:sz w:val="18"/>
              </w:rPr>
              <w:t>GET</w:t>
            </w:r>
            <w:r>
              <w:rPr>
                <w:b w:val="0"/>
                <w:i w:val="0"/>
                <w:sz w:val="19"/>
              </w:rPr>
              <w:t xml:space="preserve"> e </w:t>
            </w:r>
            <w:r>
              <w:rPr>
                <w:rFonts w:ascii="Consolas" w:hAnsi="Consolas"/>
                <w:b w:val="0"/>
                <w:i w:val="0"/>
                <w:color w:val="8B1A3A"/>
                <w:sz w:val="18"/>
              </w:rPr>
              <w:t>POST</w:t>
            </w:r>
            <w:r>
              <w:rPr>
                <w:b w:val="0"/>
                <w:i w:val="0"/>
                <w:sz w:val="19"/>
              </w:rPr>
              <w:t xml:space="preserve"> com </w:t>
            </w:r>
            <w:r>
              <w:rPr>
                <w:rFonts w:ascii="Consolas" w:hAnsi="Consolas"/>
                <w:b w:val="0"/>
                <w:i w:val="0"/>
                <w:color w:val="8B1A3A"/>
                <w:sz w:val="18"/>
              </w:rPr>
              <w:t>Idempotency-Key</w:t>
            </w:r>
            <w:r>
              <w:rPr>
                <w:b w:val="0"/>
                <w:i w:val="0"/>
                <w:sz w:val="19"/>
              </w:rPr>
              <w:t>)</w:t>
            </w:r>
          </w:p>
        </w:tc>
        <w:tc>
          <w:tcPr>
            <w:tcW w:type="dxa" w:w="3118"/>
          </w:tcPr>
          <w:p>
            <w:pPr>
              <w:spacing w:after="0" w:line="240" w:lineRule="auto"/>
              <w:jc w:val="left"/>
            </w:pPr>
            <w:r/>
            <w:r>
              <w:rPr>
                <w:b w:val="0"/>
                <w:i w:val="0"/>
                <w:sz w:val="19"/>
              </w:rPr>
              <w:t>3 tentativas, 200 ms → 400 ms → 800 ms + jitter aleatório</w:t>
            </w:r>
          </w:p>
        </w:tc>
      </w:tr>
      <w:tr>
        <w:tc>
          <w:tcPr>
            <w:tcW w:type="dxa" w:w="1814"/>
          </w:tcPr>
          <w:p>
            <w:pPr>
              <w:spacing w:after="0" w:line="240" w:lineRule="auto"/>
              <w:jc w:val="left"/>
            </w:pPr>
            <w:r/>
            <w:r>
              <w:rPr>
                <w:b w:val="0"/>
                <w:i w:val="0"/>
                <w:sz w:val="19"/>
              </w:rPr>
              <w:t>Circuit Breaker</w:t>
            </w:r>
          </w:p>
        </w:tc>
        <w:tc>
          <w:tcPr>
            <w:tcW w:type="dxa" w:w="4706"/>
          </w:tcPr>
          <w:p>
            <w:pPr>
              <w:spacing w:after="0" w:line="240" w:lineRule="auto"/>
              <w:jc w:val="left"/>
            </w:pPr>
            <w:r/>
            <w:r>
              <w:rPr>
                <w:b w:val="0"/>
                <w:i w:val="0"/>
                <w:sz w:val="19"/>
              </w:rPr>
              <w:t xml:space="preserve">Por destino: </w:t>
            </w:r>
            <w:r>
              <w:rPr>
                <w:rFonts w:ascii="Consolas" w:hAnsi="Consolas"/>
                <w:b w:val="0"/>
                <w:i w:val="0"/>
                <w:color w:val="8B1A3A"/>
                <w:sz w:val="18"/>
              </w:rPr>
              <w:t>ms-pagamentos</w:t>
            </w:r>
            <w:r>
              <w:rPr>
                <w:b w:val="0"/>
                <w:i w:val="0"/>
                <w:sz w:val="19"/>
              </w:rPr>
              <w:t xml:space="preserve">, </w:t>
            </w:r>
            <w:r>
              <w:rPr>
                <w:rFonts w:ascii="Consolas" w:hAnsi="Consolas"/>
                <w:b w:val="0"/>
                <w:i w:val="0"/>
                <w:color w:val="8B1A3A"/>
                <w:sz w:val="18"/>
              </w:rPr>
              <w:t>ms-estoque</w:t>
            </w:r>
            <w:r>
              <w:rPr>
                <w:b w:val="0"/>
                <w:i w:val="0"/>
                <w:sz w:val="19"/>
              </w:rPr>
              <w:t>, adquirente externo</w:t>
            </w:r>
          </w:p>
        </w:tc>
        <w:tc>
          <w:tcPr>
            <w:tcW w:type="dxa" w:w="3118"/>
          </w:tcPr>
          <w:p>
            <w:pPr>
              <w:spacing w:after="0" w:line="240" w:lineRule="auto"/>
              <w:jc w:val="left"/>
            </w:pPr>
            <w:r/>
            <w:r>
              <w:rPr>
                <w:b w:val="0"/>
                <w:i w:val="0"/>
                <w:sz w:val="19"/>
              </w:rPr>
              <w:t xml:space="preserve">Abre com 50% de erro em ≥ 20 chamadas na janela de 30 s; </w:t>
            </w:r>
            <w:r>
              <w:rPr>
                <w:b w:val="0"/>
                <w:i/>
                <w:sz w:val="19"/>
              </w:rPr>
              <w:t>half-open</w:t>
            </w:r>
            <w:r>
              <w:rPr>
                <w:b w:val="0"/>
                <w:i w:val="0"/>
                <w:sz w:val="19"/>
              </w:rPr>
              <w:t xml:space="preserve"> em 30 s</w:t>
            </w:r>
          </w:p>
        </w:tc>
      </w:tr>
      <w:tr>
        <w:tc>
          <w:tcPr>
            <w:tcW w:type="dxa" w:w="1814"/>
          </w:tcPr>
          <w:p>
            <w:pPr>
              <w:spacing w:after="0" w:line="240" w:lineRule="auto"/>
              <w:jc w:val="left"/>
            </w:pPr>
            <w:r/>
            <w:r>
              <w:rPr>
                <w:b w:val="0"/>
                <w:i w:val="0"/>
                <w:sz w:val="19"/>
              </w:rPr>
              <w:t>Bulkhead</w:t>
            </w:r>
          </w:p>
        </w:tc>
        <w:tc>
          <w:tcPr>
            <w:tcW w:type="dxa" w:w="4706"/>
          </w:tcPr>
          <w:p>
            <w:pPr>
              <w:spacing w:after="0" w:line="240" w:lineRule="auto"/>
              <w:jc w:val="left"/>
            </w:pPr>
            <w:r/>
            <w:r>
              <w:rPr>
                <w:b w:val="0"/>
                <w:i/>
                <w:sz w:val="19"/>
              </w:rPr>
              <w:t>Pool</w:t>
            </w:r>
            <w:r>
              <w:rPr>
                <w:b w:val="0"/>
                <w:i w:val="0"/>
                <w:sz w:val="19"/>
              </w:rPr>
              <w:t xml:space="preserve"> e limite de concorrência separados para </w:t>
            </w:r>
            <w:r>
              <w:rPr>
                <w:rFonts w:ascii="Consolas" w:hAnsi="Consolas"/>
                <w:b w:val="0"/>
                <w:i w:val="0"/>
                <w:color w:val="8B1A3A"/>
                <w:sz w:val="18"/>
              </w:rPr>
              <w:t>ms-pagamentos</w:t>
            </w:r>
            <w:r>
              <w:rPr>
                <w:b w:val="0"/>
                <w:i w:val="0"/>
                <w:sz w:val="19"/>
              </w:rPr>
              <w:t xml:space="preserve"> e para a ingestão de telemetria</w:t>
            </w:r>
          </w:p>
        </w:tc>
        <w:tc>
          <w:tcPr>
            <w:tcW w:type="dxa" w:w="3118"/>
          </w:tcPr>
          <w:p>
            <w:pPr>
              <w:spacing w:after="0" w:line="240" w:lineRule="auto"/>
              <w:jc w:val="left"/>
            </w:pPr>
            <w:r/>
            <w:r>
              <w:rPr>
                <w:b w:val="0"/>
                <w:i w:val="0"/>
                <w:sz w:val="19"/>
              </w:rPr>
              <w:t>Pagamento lento não pode consumir as conexões do catálogo</w:t>
            </w:r>
          </w:p>
        </w:tc>
      </w:tr>
      <w:tr>
        <w:tc>
          <w:tcPr>
            <w:tcW w:type="dxa" w:w="1814"/>
          </w:tcPr>
          <w:p>
            <w:pPr>
              <w:spacing w:after="0" w:line="240" w:lineRule="auto"/>
              <w:jc w:val="left"/>
            </w:pPr>
            <w:r/>
            <w:r>
              <w:rPr>
                <w:b w:val="0"/>
                <w:i w:val="0"/>
                <w:sz w:val="19"/>
              </w:rPr>
              <w:t>Dead Letter Queue</w:t>
            </w:r>
          </w:p>
        </w:tc>
        <w:tc>
          <w:tcPr>
            <w:tcW w:type="dxa" w:w="4706"/>
          </w:tcPr>
          <w:p>
            <w:pPr>
              <w:spacing w:after="0" w:line="240" w:lineRule="auto"/>
              <w:jc w:val="left"/>
            </w:pPr>
            <w:r/>
            <w:r>
              <w:rPr>
                <w:b w:val="0"/>
                <w:i w:val="0"/>
                <w:sz w:val="19"/>
              </w:rPr>
              <w:t xml:space="preserve">Tópico </w:t>
            </w:r>
            <w:r>
              <w:rPr>
                <w:rFonts w:ascii="Consolas" w:hAnsi="Consolas"/>
                <w:b w:val="0"/>
                <w:i w:val="0"/>
                <w:color w:val="8B1A3A"/>
                <w:sz w:val="18"/>
              </w:rPr>
              <w:t>&lt;topico&gt;.DLQ</w:t>
            </w:r>
            <w:r>
              <w:rPr>
                <w:b w:val="0"/>
                <w:i w:val="0"/>
                <w:sz w:val="19"/>
              </w:rPr>
              <w:t xml:space="preserve"> com retenção de 7 dias e alerta</w:t>
            </w:r>
          </w:p>
        </w:tc>
        <w:tc>
          <w:tcPr>
            <w:tcW w:type="dxa" w:w="3118"/>
          </w:tcPr>
          <w:p>
            <w:pPr>
              <w:spacing w:after="0" w:line="240" w:lineRule="auto"/>
              <w:jc w:val="left"/>
            </w:pPr>
            <w:r/>
            <w:r>
              <w:rPr>
                <w:b w:val="0"/>
                <w:i w:val="0"/>
                <w:sz w:val="19"/>
              </w:rPr>
              <w:t>Mensagem envenenada sai da fila principal sem travar o consumo</w:t>
            </w:r>
          </w:p>
        </w:tc>
      </w:tr>
      <w:tr>
        <w:tc>
          <w:tcPr>
            <w:tcW w:type="dxa" w:w="1814"/>
          </w:tcPr>
          <w:p>
            <w:pPr>
              <w:spacing w:after="0" w:line="240" w:lineRule="auto"/>
              <w:jc w:val="left"/>
            </w:pPr>
            <w:r/>
            <w:r>
              <w:rPr>
                <w:b w:val="0"/>
                <w:i w:val="0"/>
                <w:sz w:val="19"/>
              </w:rPr>
              <w:t>Idempotência no consumidor</w:t>
            </w:r>
          </w:p>
        </w:tc>
        <w:tc>
          <w:tcPr>
            <w:tcW w:type="dxa" w:w="4706"/>
          </w:tcPr>
          <w:p>
            <w:pPr>
              <w:spacing w:after="0" w:line="240" w:lineRule="auto"/>
              <w:jc w:val="left"/>
            </w:pPr>
            <w:r/>
            <w:r>
              <w:rPr>
                <w:b w:val="0"/>
                <w:i w:val="0"/>
                <w:sz w:val="19"/>
              </w:rPr>
              <w:t xml:space="preserve">Toda mensagem tem </w:t>
            </w:r>
            <w:r>
              <w:rPr>
                <w:rFonts w:ascii="Consolas" w:hAnsi="Consolas"/>
                <w:b w:val="0"/>
                <w:i w:val="0"/>
                <w:color w:val="8B1A3A"/>
                <w:sz w:val="18"/>
              </w:rPr>
              <w:t>idEvento</w:t>
            </w:r>
            <w:r>
              <w:rPr>
                <w:b w:val="0"/>
                <w:i w:val="0"/>
                <w:sz w:val="19"/>
              </w:rPr>
              <w:t xml:space="preserve">; consumidor guarda os últimos </w:t>
            </w:r>
            <w:r>
              <w:rPr>
                <w:rFonts w:ascii="Consolas" w:hAnsi="Consolas"/>
                <w:b w:val="0"/>
                <w:i w:val="0"/>
                <w:color w:val="8B1A3A"/>
                <w:sz w:val="18"/>
              </w:rPr>
              <w:t>idEvento</w:t>
            </w:r>
            <w:r>
              <w:rPr>
                <w:b w:val="0"/>
                <w:i w:val="0"/>
                <w:sz w:val="19"/>
              </w:rPr>
              <w:t xml:space="preserve"> processados</w:t>
            </w:r>
          </w:p>
        </w:tc>
        <w:tc>
          <w:tcPr>
            <w:tcW w:type="dxa" w:w="3118"/>
          </w:tcPr>
          <w:p>
            <w:pPr>
              <w:spacing w:after="0" w:line="240" w:lineRule="auto"/>
              <w:jc w:val="left"/>
            </w:pPr>
            <w:r/>
            <w:r>
              <w:rPr>
                <w:b w:val="0"/>
                <w:i w:val="0"/>
                <w:sz w:val="19"/>
              </w:rPr>
              <w:t>At-least-once é o padrão real de mensageria: sem isso, evento repetido cobra duas vezes</w:t>
            </w:r>
          </w:p>
        </w:tc>
      </w:tr>
      <w:tr>
        <w:tc>
          <w:tcPr>
            <w:tcW w:type="dxa" w:w="1814"/>
          </w:tcPr>
          <w:p>
            <w:pPr>
              <w:spacing w:after="0" w:line="240" w:lineRule="auto"/>
              <w:jc w:val="left"/>
            </w:pPr>
            <w:r/>
            <w:r>
              <w:rPr>
                <w:b w:val="0"/>
                <w:i w:val="0"/>
                <w:sz w:val="19"/>
              </w:rPr>
              <w:t>Degradação elegante</w:t>
            </w:r>
          </w:p>
        </w:tc>
        <w:tc>
          <w:tcPr>
            <w:tcW w:type="dxa" w:w="4706"/>
          </w:tcPr>
          <w:p>
            <w:pPr>
              <w:spacing w:after="0" w:line="240" w:lineRule="auto"/>
              <w:jc w:val="left"/>
            </w:pPr>
            <w:r/>
            <w:r>
              <w:rPr>
                <w:b w:val="0"/>
                <w:i w:val="0"/>
                <w:sz w:val="19"/>
              </w:rPr>
              <w:t>Catálogo responde do cache Redis se o serviço cair; consulta de estoque devolve último saldo conhecido com aviso "saldo pode estar desatualizado"</w:t>
            </w:r>
          </w:p>
        </w:tc>
        <w:tc>
          <w:tcPr>
            <w:tcW w:type="dxa" w:w="3118"/>
          </w:tcPr>
          <w:p>
            <w:pPr>
              <w:spacing w:after="0" w:line="240" w:lineRule="auto"/>
              <w:jc w:val="left"/>
            </w:pPr>
            <w:r/>
            <w:r>
              <w:rPr>
                <w:b w:val="0"/>
                <w:i w:val="0"/>
                <w:sz w:val="19"/>
              </w:rPr>
              <w:t>Preferir resposta parcial explícita a erro total</w:t>
            </w:r>
          </w:p>
        </w:tc>
      </w:tr>
      <w:tr>
        <w:tc>
          <w:tcPr>
            <w:tcW w:type="dxa" w:w="1814"/>
          </w:tcPr>
          <w:p>
            <w:pPr>
              <w:spacing w:after="0" w:line="240" w:lineRule="auto"/>
              <w:jc w:val="left"/>
            </w:pPr>
            <w:r/>
            <w:r>
              <w:rPr>
                <w:b w:val="0"/>
                <w:i w:val="0"/>
                <w:sz w:val="19"/>
              </w:rPr>
              <w:t>Falha segura</w:t>
            </w:r>
          </w:p>
        </w:tc>
        <w:tc>
          <w:tcPr>
            <w:tcW w:type="dxa" w:w="4706"/>
          </w:tcPr>
          <w:p>
            <w:pPr>
              <w:spacing w:after="0" w:line="240" w:lineRule="auto"/>
              <w:jc w:val="left"/>
            </w:pPr>
            <w:r/>
            <w:r>
              <w:rPr>
                <w:b w:val="0"/>
                <w:i w:val="0"/>
                <w:sz w:val="19"/>
              </w:rPr>
              <w:t xml:space="preserve">Se o </w:t>
            </w:r>
            <w:r>
              <w:rPr>
                <w:rFonts w:ascii="Consolas" w:hAnsi="Consolas"/>
                <w:b w:val="0"/>
                <w:i w:val="0"/>
                <w:color w:val="8B1A3A"/>
                <w:sz w:val="18"/>
              </w:rPr>
              <w:t>ms-pagamentos</w:t>
            </w:r>
            <w:r>
              <w:rPr>
                <w:b w:val="0"/>
                <w:i w:val="0"/>
                <w:sz w:val="19"/>
              </w:rPr>
              <w:t xml:space="preserve"> não responde, o pedido fica </w:t>
            </w:r>
            <w:r>
              <w:rPr>
                <w:rFonts w:ascii="Consolas" w:hAnsi="Consolas"/>
                <w:b w:val="0"/>
                <w:i w:val="0"/>
                <w:color w:val="8B1A3A"/>
                <w:sz w:val="18"/>
              </w:rPr>
              <w:t>aguardando_pagamento</w:t>
            </w:r>
            <w:r>
              <w:rPr>
                <w:b w:val="0"/>
                <w:i w:val="0"/>
                <w:sz w:val="19"/>
              </w:rPr>
              <w:t xml:space="preserve"> e a reserva de estoque é </w:t>
            </w:r>
            <w:r>
              <w:rPr>
                <w:b/>
                <w:i w:val="0"/>
                <w:sz w:val="19"/>
              </w:rPr>
              <w:t>liberada</w:t>
            </w:r>
            <w:r>
              <w:rPr>
                <w:b w:val="0"/>
                <w:i w:val="0"/>
                <w:sz w:val="19"/>
              </w:rPr>
              <w:t xml:space="preserve"> após o prazo</w:t>
            </w:r>
          </w:p>
        </w:tc>
        <w:tc>
          <w:tcPr>
            <w:tcW w:type="dxa" w:w="3118"/>
          </w:tcPr>
          <w:p>
            <w:pPr>
              <w:spacing w:after="0" w:line="240" w:lineRule="auto"/>
              <w:jc w:val="left"/>
            </w:pPr>
            <w:r/>
            <w:r>
              <w:rPr>
                <w:b w:val="0"/>
                <w:i w:val="0"/>
                <w:sz w:val="19"/>
              </w:rPr>
              <w:t>Nunca "assumir aprovado"</w:t>
            </w:r>
          </w:p>
        </w:tc>
      </w:tr>
    </w:tbl>
    <w:p>
      <w:pPr>
        <w:pStyle w:val="Heading3"/>
      </w:pPr>
      <w:r>
        <w:rPr>
          <w:b w:val="0"/>
          <w:i w:val="0"/>
          <w:sz w:val="22"/>
        </w:rPr>
        <w:t>5.6.2 Fluxo de compensação (ligação com o Saga da seção 3)</w:t>
      </w:r>
    </w:p>
    <w:p>
      <w:r>
        <w:rPr>
          <w:b w:val="0"/>
          <w:i w:val="0"/>
          <w:sz w:val="22"/>
        </w:rPr>
        <w:t xml:space="preserve">Compra de vinho: gateway → </w:t>
      </w:r>
      <w:r>
        <w:rPr>
          <w:rFonts w:ascii="Consolas" w:hAnsi="Consolas"/>
          <w:b w:val="0"/>
          <w:i w:val="0"/>
          <w:color w:val="8B1A3A"/>
          <w:sz w:val="21"/>
        </w:rPr>
        <w:t>ms-pedidos</w:t>
      </w:r>
      <w:r>
        <w:rPr>
          <w:b w:val="0"/>
          <w:i w:val="0"/>
          <w:sz w:val="22"/>
        </w:rPr>
        <w:t xml:space="preserve"> (</w:t>
      </w:r>
      <w:r>
        <w:rPr>
          <w:rFonts w:ascii="Consolas" w:hAnsi="Consolas"/>
          <w:b w:val="0"/>
          <w:i w:val="0"/>
          <w:color w:val="8B1A3A"/>
          <w:sz w:val="21"/>
        </w:rPr>
        <w:t>pedido.criado</w:t>
      </w:r>
      <w:r>
        <w:rPr>
          <w:b w:val="0"/>
          <w:i w:val="0"/>
          <w:sz w:val="22"/>
        </w:rPr>
        <w:t xml:space="preserve">) → </w:t>
      </w:r>
      <w:r>
        <w:rPr>
          <w:rFonts w:ascii="Consolas" w:hAnsi="Consolas"/>
          <w:b w:val="0"/>
          <w:i w:val="0"/>
          <w:color w:val="8B1A3A"/>
          <w:sz w:val="21"/>
        </w:rPr>
        <w:t>ms-estoque</w:t>
      </w:r>
      <w:r>
        <w:rPr>
          <w:b w:val="0"/>
          <w:i w:val="0"/>
          <w:sz w:val="22"/>
        </w:rPr>
        <w:t xml:space="preserve"> reserva (</w:t>
      </w:r>
      <w:r>
        <w:rPr>
          <w:rFonts w:ascii="Consolas" w:hAnsi="Consolas"/>
          <w:b w:val="0"/>
          <w:i w:val="0"/>
          <w:color w:val="8B1A3A"/>
          <w:sz w:val="21"/>
        </w:rPr>
        <w:t>estoque.reservado</w:t>
      </w:r>
      <w:r>
        <w:rPr>
          <w:b w:val="0"/>
          <w:i w:val="0"/>
          <w:sz w:val="22"/>
        </w:rPr>
        <w:t xml:space="preserve">) → </w:t>
      </w:r>
      <w:r>
        <w:rPr>
          <w:rFonts w:ascii="Consolas" w:hAnsi="Consolas"/>
          <w:b w:val="0"/>
          <w:i w:val="0"/>
          <w:color w:val="8B1A3A"/>
          <w:sz w:val="21"/>
        </w:rPr>
        <w:t>ms-pagamentos</w:t>
      </w:r>
      <w:r>
        <w:rPr>
          <w:b w:val="0"/>
          <w:i w:val="0"/>
          <w:sz w:val="22"/>
        </w:rPr>
        <w:t xml:space="preserve"> (</w:t>
      </w:r>
      <w:r>
        <w:rPr>
          <w:rFonts w:ascii="Consolas" w:hAnsi="Consolas"/>
          <w:b w:val="0"/>
          <w:i w:val="0"/>
          <w:color w:val="8B1A3A"/>
          <w:sz w:val="21"/>
        </w:rPr>
        <w:t>pagamento.aprovado</w:t>
      </w:r>
      <w:r>
        <w:rPr>
          <w:b w:val="0"/>
          <w:i w:val="0"/>
          <w:sz w:val="22"/>
        </w:rPr>
        <w:t xml:space="preserve"> | </w:t>
      </w:r>
      <w:r>
        <w:rPr>
          <w:rFonts w:ascii="Consolas" w:hAnsi="Consolas"/>
          <w:b w:val="0"/>
          <w:i w:val="0"/>
          <w:color w:val="8B1A3A"/>
          <w:sz w:val="21"/>
        </w:rPr>
        <w:t>pagamento.recusado</w:t>
      </w:r>
      <w:r>
        <w:rPr>
          <w:b w:val="0"/>
          <w:i w:val="0"/>
          <w:sz w:val="22"/>
        </w:rPr>
        <w:t xml:space="preserve">) → confirma pedido → </w:t>
      </w:r>
      <w:r>
        <w:rPr>
          <w:rFonts w:ascii="Consolas" w:hAnsi="Consolas"/>
          <w:b w:val="0"/>
          <w:i w:val="0"/>
          <w:color w:val="8B1A3A"/>
          <w:sz w:val="21"/>
        </w:rPr>
        <w:t>ms-notificacoes</w:t>
      </w:r>
      <w:r>
        <w:rPr>
          <w:b w:val="0"/>
          <w:i w:val="0"/>
          <w:sz w:val="22"/>
        </w:rPr>
        <w:t xml:space="preserve"> avisa → baixa definitiva.</w:t>
      </w:r>
    </w:p>
    <w:p>
      <w:r>
        <w:rPr>
          <w:b w:val="0"/>
          <w:i w:val="0"/>
          <w:sz w:val="22"/>
        </w:rPr>
        <w:t xml:space="preserve">Falha no pagamento: </w:t>
      </w:r>
      <w:r>
        <w:rPr>
          <w:rFonts w:ascii="Consolas" w:hAnsi="Consolas"/>
          <w:b w:val="0"/>
          <w:i w:val="0"/>
          <w:color w:val="8B1A3A"/>
          <w:sz w:val="21"/>
        </w:rPr>
        <w:t>pagamento.recusado</w:t>
      </w:r>
      <w:r>
        <w:rPr>
          <w:b w:val="0"/>
          <w:i w:val="0"/>
          <w:sz w:val="22"/>
        </w:rPr>
        <w:t xml:space="preserve"> → </w:t>
      </w:r>
      <w:r>
        <w:rPr>
          <w:rFonts w:ascii="Consolas" w:hAnsi="Consolas"/>
          <w:b w:val="0"/>
          <w:i w:val="0"/>
          <w:color w:val="8B1A3A"/>
          <w:sz w:val="21"/>
        </w:rPr>
        <w:t>ms-estoque</w:t>
      </w:r>
      <w:r>
        <w:rPr>
          <w:b w:val="0"/>
          <w:i w:val="0"/>
          <w:sz w:val="22"/>
        </w:rPr>
        <w:t xml:space="preserve"> </w:t>
      </w:r>
      <w:r>
        <w:rPr>
          <w:b/>
          <w:i w:val="0"/>
          <w:sz w:val="22"/>
        </w:rPr>
        <w:t>libera a reserva</w:t>
      </w:r>
      <w:r>
        <w:rPr>
          <w:b w:val="0"/>
          <w:i w:val="0"/>
          <w:sz w:val="22"/>
        </w:rPr>
        <w:t xml:space="preserve"> → </w:t>
      </w:r>
      <w:r>
        <w:rPr>
          <w:rFonts w:ascii="Consolas" w:hAnsi="Consolas"/>
          <w:b w:val="0"/>
          <w:i w:val="0"/>
          <w:color w:val="8B1A3A"/>
          <w:sz w:val="21"/>
        </w:rPr>
        <w:t>ms-pedidos</w:t>
      </w:r>
      <w:r>
        <w:rPr>
          <w:b w:val="0"/>
          <w:i w:val="0"/>
          <w:sz w:val="22"/>
        </w:rPr>
        <w:t xml:space="preserve"> marca </w:t>
      </w:r>
      <w:r>
        <w:rPr>
          <w:rFonts w:ascii="Consolas" w:hAnsi="Consolas"/>
          <w:b w:val="0"/>
          <w:i w:val="0"/>
          <w:color w:val="8B1A3A"/>
          <w:sz w:val="21"/>
        </w:rPr>
        <w:t>cancelado</w:t>
      </w:r>
      <w:r>
        <w:rPr>
          <w:b w:val="0"/>
          <w:i w:val="0"/>
          <w:sz w:val="22"/>
        </w:rPr>
        <w:t xml:space="preserve"> → </w:t>
      </w:r>
      <w:r>
        <w:rPr>
          <w:rFonts w:ascii="Consolas" w:hAnsi="Consolas"/>
          <w:b w:val="0"/>
          <w:i w:val="0"/>
          <w:color w:val="8B1A3A"/>
          <w:sz w:val="21"/>
        </w:rPr>
        <w:t>ms-notificacoes</w:t>
      </w:r>
      <w:r>
        <w:rPr>
          <w:b w:val="0"/>
          <w:i w:val="0"/>
          <w:sz w:val="22"/>
        </w:rPr>
        <w:t xml:space="preserve"> informa. A compensação é evento, não comando direto: o serviço que reservou é o único que pode liberar.</w:t>
      </w:r>
    </w:p>
    <w:p>
      <w:pPr>
        <w:pStyle w:val="Heading3"/>
      </w:pPr>
      <w:r>
        <w:rPr>
          <w:b w:val="0"/>
          <w:i w:val="0"/>
          <w:sz w:val="22"/>
        </w:rPr>
        <w:t>5.6.3 Continuidade e deploy</w:t>
      </w:r>
    </w:p>
    <w:p>
      <w:pPr>
        <w:pStyle w:val="ListBullet"/>
      </w:pPr>
      <w:r>
        <w:rPr>
          <w:b/>
          <w:i w:val="0"/>
          <w:sz w:val="22"/>
        </w:rPr>
        <w:t>Blue-green/canário</w:t>
      </w:r>
      <w:r>
        <w:rPr>
          <w:b w:val="0"/>
          <w:i w:val="0"/>
          <w:sz w:val="22"/>
        </w:rPr>
        <w:t xml:space="preserve"> por serviço, com </w:t>
      </w:r>
      <w:r>
        <w:rPr>
          <w:b w:val="0"/>
          <w:i/>
          <w:sz w:val="22"/>
        </w:rPr>
        <w:t>rollback</w:t>
      </w:r>
      <w:r>
        <w:rPr>
          <w:b w:val="0"/>
          <w:i w:val="0"/>
          <w:sz w:val="22"/>
        </w:rPr>
        <w:t xml:space="preserve"> automático por SLO (aumento de erro 5xx ou de latência p95 na nova versão).</w:t>
      </w:r>
    </w:p>
    <w:p>
      <w:pPr>
        <w:pStyle w:val="ListBullet"/>
      </w:pPr>
      <w:r>
        <w:rPr>
          <w:b/>
          <w:i w:val="0"/>
          <w:sz w:val="22"/>
        </w:rPr>
        <w:t>Migração de banco compatível</w:t>
      </w:r>
      <w:r>
        <w:rPr>
          <w:b w:val="0"/>
          <w:i w:val="0"/>
          <w:sz w:val="22"/>
        </w:rPr>
        <w:t xml:space="preserve"> com a versão anterior (expandir → migrar → contrair), para que o </w:t>
      </w:r>
      <w:r>
        <w:rPr>
          <w:b w:val="0"/>
          <w:i/>
          <w:sz w:val="22"/>
        </w:rPr>
        <w:t>rollback</w:t>
      </w:r>
      <w:r>
        <w:rPr>
          <w:b w:val="0"/>
          <w:i w:val="0"/>
          <w:sz w:val="22"/>
        </w:rPr>
        <w:t xml:space="preserve"> não exija restaurar banco.</w:t>
      </w:r>
    </w:p>
    <w:p>
      <w:pPr>
        <w:pStyle w:val="ListBullet"/>
      </w:pPr>
      <w:r>
        <w:rPr>
          <w:b/>
          <w:i w:val="0"/>
          <w:sz w:val="22"/>
        </w:rPr>
        <w:t>Backup</w:t>
      </w:r>
      <w:r>
        <w:rPr>
          <w:b w:val="0"/>
          <w:i w:val="0"/>
          <w:sz w:val="22"/>
        </w:rPr>
        <w:t xml:space="preserve"> diário por serviço + </w:t>
      </w:r>
      <w:r>
        <w:rPr>
          <w:b/>
          <w:i w:val="0"/>
          <w:sz w:val="22"/>
        </w:rPr>
        <w:t>teste de restauração</w:t>
      </w:r>
      <w:r>
        <w:rPr>
          <w:b w:val="0"/>
          <w:i w:val="0"/>
          <w:sz w:val="22"/>
        </w:rPr>
        <w:t xml:space="preserve"> trimestral registrado (backup não testado não é backup).</w:t>
      </w:r>
    </w:p>
    <w:p>
      <w:pPr>
        <w:pStyle w:val="ListBullet"/>
      </w:pPr>
      <w:r>
        <w:rPr>
          <w:b w:val="0"/>
          <w:i w:val="0"/>
          <w:sz w:val="22"/>
        </w:rPr>
        <w:t xml:space="preserve">Metas de continuidade: </w:t>
      </w:r>
      <w:r>
        <w:rPr>
          <w:b/>
          <w:i w:val="0"/>
          <w:sz w:val="22"/>
        </w:rPr>
        <w:t>RPO 15 min / RTO 1 h</w:t>
      </w:r>
      <w:r>
        <w:rPr>
          <w:b w:val="0"/>
          <w:i w:val="0"/>
          <w:sz w:val="22"/>
        </w:rPr>
        <w:t xml:space="preserve"> para </w:t>
      </w:r>
      <w:r>
        <w:rPr>
          <w:rFonts w:ascii="Consolas" w:hAnsi="Consolas"/>
          <w:b w:val="0"/>
          <w:i w:val="0"/>
          <w:color w:val="8B1A3A"/>
          <w:sz w:val="21"/>
        </w:rPr>
        <w:t>ms-pedidos</w:t>
      </w:r>
      <w:r>
        <w:rPr>
          <w:b w:val="0"/>
          <w:i w:val="0"/>
          <w:sz w:val="22"/>
        </w:rPr>
        <w:t xml:space="preserve">, </w:t>
      </w:r>
      <w:r>
        <w:rPr>
          <w:rFonts w:ascii="Consolas" w:hAnsi="Consolas"/>
          <w:b w:val="0"/>
          <w:i w:val="0"/>
          <w:color w:val="8B1A3A"/>
          <w:sz w:val="21"/>
        </w:rPr>
        <w:t>ms-estoque</w:t>
      </w:r>
      <w:r>
        <w:rPr>
          <w:b w:val="0"/>
          <w:i w:val="0"/>
          <w:sz w:val="22"/>
        </w:rPr>
        <w:t xml:space="preserve"> e </w:t>
      </w:r>
      <w:r>
        <w:rPr>
          <w:rFonts w:ascii="Consolas" w:hAnsi="Consolas"/>
          <w:b w:val="0"/>
          <w:i w:val="0"/>
          <w:color w:val="8B1A3A"/>
          <w:sz w:val="21"/>
        </w:rPr>
        <w:t>ms-pagamentos</w:t>
      </w:r>
      <w:r>
        <w:rPr>
          <w:b w:val="0"/>
          <w:i w:val="0"/>
          <w:sz w:val="22"/>
        </w:rPr>
        <w:t>; RPO 1 h / RTO 4 h para os demais.</w:t>
      </w:r>
    </w:p>
    <w:p>
      <w:pPr>
        <w:pStyle w:val="Heading2"/>
      </w:pPr>
      <w:r>
        <w:rPr>
          <w:b w:val="0"/>
          <w:i w:val="0"/>
          <w:sz w:val="22"/>
        </w:rPr>
        <w:t>5.7 Observabilidade</w:t>
      </w:r>
    </w:p>
    <w:p>
      <w:pPr>
        <w:pStyle w:val="ListBullet"/>
      </w:pPr>
      <w:r>
        <w:rPr>
          <w:b/>
          <w:i w:val="0"/>
          <w:sz w:val="22"/>
        </w:rPr>
        <w:t>OpenTelemetry</w:t>
      </w:r>
      <w:r>
        <w:rPr>
          <w:b w:val="0"/>
          <w:i w:val="0"/>
          <w:sz w:val="22"/>
        </w:rPr>
        <w:t xml:space="preserve"> com </w:t>
      </w:r>
      <w:r>
        <w:rPr>
          <w:rFonts w:ascii="Consolas" w:hAnsi="Consolas"/>
          <w:b w:val="0"/>
          <w:i w:val="0"/>
          <w:color w:val="8B1A3A"/>
          <w:sz w:val="21"/>
        </w:rPr>
        <w:t>traceId</w:t>
      </w:r>
      <w:r>
        <w:rPr>
          <w:b w:val="0"/>
          <w:i w:val="0"/>
          <w:sz w:val="22"/>
        </w:rPr>
        <w:t xml:space="preserve"> único gerado no gateway e propagado em HTTP </w:t>
      </w:r>
      <w:r>
        <w:rPr>
          <w:b/>
          <w:i w:val="0"/>
          <w:sz w:val="22"/>
        </w:rPr>
        <w:t>e</w:t>
      </w:r>
      <w:r>
        <w:rPr>
          <w:b w:val="0"/>
          <w:i w:val="0"/>
          <w:sz w:val="22"/>
        </w:rPr>
        <w:t xml:space="preserve"> nos cabeçalhos das mensagens Kafka — é o que permite ligar "o cliente reclamou que o pedido sumiu" a uma cadeia de 5 serviços.</w:t>
      </w:r>
    </w:p>
    <w:p>
      <w:pPr>
        <w:pStyle w:val="ListBullet"/>
      </w:pPr>
      <w:r>
        <w:rPr>
          <w:b/>
          <w:i w:val="0"/>
          <w:sz w:val="22"/>
        </w:rPr>
        <w:t>Métricas</w:t>
      </w:r>
      <w:r>
        <w:rPr>
          <w:b w:val="0"/>
          <w:i w:val="0"/>
          <w:sz w:val="22"/>
        </w:rPr>
        <w:t xml:space="preserve"> (Prometheus) por serviço: latência p50/p95/p99, taxa de erro, saturação; por tópico: </w:t>
      </w:r>
      <w:r>
        <w:rPr>
          <w:b w:val="0"/>
          <w:i/>
          <w:sz w:val="22"/>
        </w:rPr>
        <w:t>lag</w:t>
      </w:r>
      <w:r>
        <w:rPr>
          <w:b w:val="0"/>
          <w:i w:val="0"/>
          <w:sz w:val="22"/>
        </w:rPr>
        <w:t xml:space="preserve"> do consumidor e tamanho da DLQ; de negócio: pedidos criados, pagamentos aprovados, </w:t>
      </w:r>
      <w:r>
        <w:rPr>
          <w:b/>
          <w:i w:val="0"/>
          <w:sz w:val="22"/>
        </w:rPr>
        <w:t>alertas de adega</w:t>
      </w:r>
      <w:r>
        <w:rPr>
          <w:b w:val="0"/>
          <w:i w:val="0"/>
          <w:sz w:val="22"/>
        </w:rPr>
        <w:t>.</w:t>
      </w:r>
    </w:p>
    <w:p>
      <w:pPr>
        <w:pStyle w:val="ListBullet"/>
      </w:pPr>
      <w:r>
        <w:rPr>
          <w:b/>
          <w:i w:val="0"/>
          <w:sz w:val="22"/>
        </w:rPr>
        <w:t>Dashboards e alertas</w:t>
      </w:r>
      <w:r>
        <w:rPr>
          <w:b w:val="0"/>
          <w:i w:val="0"/>
          <w:sz w:val="22"/>
        </w:rPr>
        <w:t xml:space="preserve"> (Grafana): alerta de negócio (temperatura fora da faixa — </w:t>
      </w:r>
      <w:r>
        <w:rPr>
          <w:rFonts w:ascii="Consolas" w:hAnsi="Consolas"/>
          <w:b w:val="0"/>
          <w:i w:val="0"/>
          <w:color w:val="8B1A3A"/>
          <w:sz w:val="21"/>
        </w:rPr>
        <w:t>qualidade.alerta</w:t>
      </w:r>
      <w:r>
        <w:rPr>
          <w:b w:val="0"/>
          <w:i w:val="0"/>
          <w:sz w:val="22"/>
        </w:rPr>
        <w:t>), alerta de consumo (lag de tópico &gt; 5 min), alerta de borda (taxa de 401/429 anômala, possível tentativa de varredura).</w:t>
      </w:r>
    </w:p>
    <w:p>
      <w:pPr>
        <w:pStyle w:val="ListBullet"/>
      </w:pPr>
      <w:r>
        <w:rPr>
          <w:b/>
          <w:i w:val="0"/>
          <w:sz w:val="22"/>
        </w:rPr>
        <w:t>Logs estruturados</w:t>
      </w:r>
      <w:r>
        <w:rPr>
          <w:b w:val="0"/>
          <w:i w:val="0"/>
          <w:sz w:val="22"/>
        </w:rPr>
        <w:t xml:space="preserve"> em JSON, com </w:t>
      </w:r>
      <w:r>
        <w:rPr>
          <w:rFonts w:ascii="Consolas" w:hAnsi="Consolas"/>
          <w:b w:val="0"/>
          <w:i w:val="0"/>
          <w:color w:val="8B1A3A"/>
          <w:sz w:val="21"/>
        </w:rPr>
        <w:t>traceId</w:t>
      </w:r>
      <w:r>
        <w:rPr>
          <w:b w:val="0"/>
          <w:i w:val="0"/>
          <w:sz w:val="22"/>
        </w:rPr>
        <w:t>, sem dado pessoal (seção 5.8).</w:t>
      </w:r>
    </w:p>
    <w:p>
      <w:r>
        <w:rPr>
          <w:b/>
          <w:i w:val="0"/>
          <w:sz w:val="22"/>
        </w:rPr>
        <w:t>SLOs propostos (mensais, por serviço):</w:t>
      </w:r>
    </w:p>
    <w:p>
      <w:pPr>
        <w:keepNext/>
        <w:spacing w:after="60" w:before="0"/>
        <w:jc w:val="left"/>
      </w:pPr>
      <w:r>
        <w:rPr>
          <w:b w:val="0"/>
          <w:i/>
          <w:color w:val="595959"/>
          <w:sz w:val="19"/>
        </w:rPr>
        <w:t>Tabela 22 — SLOs propostos por serviço (mensais)</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trPr>
        <w:tc>
          <w:tcPr>
            <w:tcW w:type="dxa" w:w="2041"/>
            <w:shd w:val="clear" w:fill="F4E7EB"/>
          </w:tcPr>
          <w:p>
            <w:pPr>
              <w:spacing w:after="0"/>
              <w:jc w:val="left"/>
            </w:pPr>
            <w:r>
              <w:rPr>
                <w:b/>
              </w:rPr>
            </w:r>
            <w:r>
              <w:rPr>
                <w:b/>
                <w:i w:val="0"/>
                <w:sz w:val="18"/>
              </w:rPr>
              <w:t>Serviço</w:t>
            </w:r>
          </w:p>
        </w:tc>
        <w:tc>
          <w:tcPr>
            <w:tcW w:type="dxa" w:w="2494"/>
            <w:shd w:val="clear" w:fill="F4E7EB"/>
          </w:tcPr>
          <w:p>
            <w:pPr>
              <w:spacing w:after="0"/>
              <w:jc w:val="left"/>
            </w:pPr>
            <w:r>
              <w:rPr>
                <w:b/>
              </w:rPr>
            </w:r>
            <w:r>
              <w:rPr>
                <w:b/>
                <w:i w:val="0"/>
                <w:sz w:val="18"/>
              </w:rPr>
              <w:t>Disponibilidade</w:t>
            </w:r>
          </w:p>
        </w:tc>
        <w:tc>
          <w:tcPr>
            <w:tcW w:type="dxa" w:w="2835"/>
            <w:shd w:val="clear" w:fill="F4E7EB"/>
          </w:tcPr>
          <w:p>
            <w:pPr>
              <w:spacing w:after="0"/>
              <w:jc w:val="left"/>
            </w:pPr>
            <w:r>
              <w:rPr>
                <w:b/>
              </w:rPr>
            </w:r>
            <w:r>
              <w:rPr>
                <w:b/>
                <w:i w:val="0"/>
                <w:sz w:val="18"/>
              </w:rPr>
              <w:t>Latência</w:t>
            </w:r>
          </w:p>
        </w:tc>
        <w:tc>
          <w:tcPr>
            <w:tcW w:type="dxa" w:w="2268"/>
            <w:shd w:val="clear" w:fill="F4E7EB"/>
          </w:tcPr>
          <w:p>
            <w:pPr>
              <w:spacing w:after="0"/>
              <w:jc w:val="left"/>
            </w:pPr>
            <w:r>
              <w:rPr>
                <w:b/>
              </w:rPr>
            </w:r>
            <w:r>
              <w:rPr>
                <w:b/>
                <w:i w:val="0"/>
                <w:sz w:val="18"/>
              </w:rPr>
              <w:t>Outro</w:t>
            </w:r>
          </w:p>
        </w:tc>
      </w:tr>
      <w:tr>
        <w:tc>
          <w:tcPr>
            <w:tcW w:type="dxa" w:w="2041"/>
          </w:tcPr>
          <w:p>
            <w:pPr>
              <w:spacing w:after="0" w:line="240" w:lineRule="auto"/>
              <w:jc w:val="left"/>
            </w:pPr>
            <w:r/>
            <w:r>
              <w:rPr>
                <w:b w:val="0"/>
                <w:i w:val="0"/>
                <w:sz w:val="18"/>
              </w:rPr>
              <w:t>API Gateway</w:t>
            </w:r>
          </w:p>
        </w:tc>
        <w:tc>
          <w:tcPr>
            <w:tcW w:type="dxa" w:w="2494"/>
          </w:tcPr>
          <w:p>
            <w:pPr>
              <w:spacing w:after="0" w:line="240" w:lineRule="auto"/>
              <w:jc w:val="left"/>
            </w:pPr>
            <w:r/>
            <w:r>
              <w:rPr>
                <w:b w:val="0"/>
                <w:i w:val="0"/>
                <w:sz w:val="18"/>
              </w:rPr>
              <w:t>99,9%</w:t>
            </w:r>
          </w:p>
        </w:tc>
        <w:tc>
          <w:tcPr>
            <w:tcW w:type="dxa" w:w="2835"/>
          </w:tcPr>
          <w:p>
            <w:pPr>
              <w:spacing w:after="0" w:line="240" w:lineRule="auto"/>
              <w:jc w:val="left"/>
            </w:pPr>
            <w:r/>
            <w:r>
              <w:rPr>
                <w:b w:val="0"/>
                <w:i w:val="0"/>
                <w:sz w:val="18"/>
              </w:rPr>
              <w:t>p95 &lt; 250 ms</w:t>
            </w:r>
          </w:p>
        </w:tc>
        <w:tc>
          <w:tcPr>
            <w:tcW w:type="dxa" w:w="2268"/>
          </w:tcPr>
          <w:p>
            <w:pPr>
              <w:spacing w:after="0" w:line="240" w:lineRule="auto"/>
              <w:jc w:val="left"/>
            </w:pPr>
            <w:r/>
            <w:r>
              <w:rPr>
                <w:b w:val="0"/>
                <w:i w:val="0"/>
                <w:sz w:val="18"/>
              </w:rPr>
              <w:t>—</w:t>
            </w:r>
          </w:p>
        </w:tc>
      </w:tr>
      <w:tr>
        <w:tc>
          <w:tcPr>
            <w:tcW w:type="dxa" w:w="2041"/>
          </w:tcPr>
          <w:p>
            <w:pPr>
              <w:spacing w:after="0" w:line="240" w:lineRule="auto"/>
              <w:jc w:val="left"/>
            </w:pPr>
            <w:r/>
            <w:r>
              <w:rPr>
                <w:rFonts w:ascii="Consolas" w:hAnsi="Consolas"/>
                <w:b w:val="0"/>
                <w:i w:val="0"/>
                <w:color w:val="8B1A3A"/>
                <w:sz w:val="17"/>
              </w:rPr>
              <w:t>ms-catalogo</w:t>
            </w:r>
          </w:p>
        </w:tc>
        <w:tc>
          <w:tcPr>
            <w:tcW w:type="dxa" w:w="2494"/>
          </w:tcPr>
          <w:p>
            <w:pPr>
              <w:spacing w:after="0" w:line="240" w:lineRule="auto"/>
              <w:jc w:val="left"/>
            </w:pPr>
            <w:r/>
            <w:r>
              <w:rPr>
                <w:b w:val="0"/>
                <w:i w:val="0"/>
                <w:sz w:val="18"/>
              </w:rPr>
              <w:t>99,9%</w:t>
            </w:r>
          </w:p>
        </w:tc>
        <w:tc>
          <w:tcPr>
            <w:tcW w:type="dxa" w:w="2835"/>
          </w:tcPr>
          <w:p>
            <w:pPr>
              <w:spacing w:after="0" w:line="240" w:lineRule="auto"/>
              <w:jc w:val="left"/>
            </w:pPr>
            <w:r/>
            <w:r>
              <w:rPr>
                <w:b w:val="0"/>
                <w:i w:val="0"/>
                <w:sz w:val="18"/>
              </w:rPr>
              <w:t>p95 &lt; 150 ms (cache)</w:t>
            </w:r>
          </w:p>
        </w:tc>
        <w:tc>
          <w:tcPr>
            <w:tcW w:type="dxa" w:w="2268"/>
          </w:tcPr>
          <w:p>
            <w:pPr>
              <w:spacing w:after="0" w:line="240" w:lineRule="auto"/>
              <w:jc w:val="left"/>
            </w:pPr>
            <w:r/>
            <w:r>
              <w:rPr>
                <w:b w:val="0"/>
                <w:i w:val="0"/>
                <w:sz w:val="18"/>
              </w:rPr>
              <w:t>—</w:t>
            </w:r>
          </w:p>
        </w:tc>
      </w:tr>
      <w:tr>
        <w:tc>
          <w:tcPr>
            <w:tcW w:type="dxa" w:w="2041"/>
          </w:tcPr>
          <w:p>
            <w:pPr>
              <w:spacing w:after="0" w:line="240" w:lineRule="auto"/>
              <w:jc w:val="left"/>
            </w:pPr>
            <w:r/>
            <w:r>
              <w:rPr>
                <w:rFonts w:ascii="Consolas" w:hAnsi="Consolas"/>
                <w:b w:val="0"/>
                <w:i w:val="0"/>
                <w:color w:val="8B1A3A"/>
                <w:sz w:val="17"/>
              </w:rPr>
              <w:t>ms-estoque</w:t>
            </w:r>
            <w:r>
              <w:rPr>
                <w:b w:val="0"/>
                <w:i w:val="0"/>
                <w:sz w:val="18"/>
              </w:rPr>
              <w:t xml:space="preserve"> (consulta)</w:t>
            </w:r>
          </w:p>
        </w:tc>
        <w:tc>
          <w:tcPr>
            <w:tcW w:type="dxa" w:w="2494"/>
          </w:tcPr>
          <w:p>
            <w:pPr>
              <w:spacing w:after="0" w:line="240" w:lineRule="auto"/>
              <w:jc w:val="left"/>
            </w:pPr>
            <w:r/>
            <w:r>
              <w:rPr>
                <w:b w:val="0"/>
                <w:i w:val="0"/>
                <w:sz w:val="18"/>
              </w:rPr>
              <w:t>99,9%</w:t>
            </w:r>
          </w:p>
        </w:tc>
        <w:tc>
          <w:tcPr>
            <w:tcW w:type="dxa" w:w="2835"/>
          </w:tcPr>
          <w:p>
            <w:pPr>
              <w:spacing w:after="0" w:line="240" w:lineRule="auto"/>
              <w:jc w:val="left"/>
            </w:pPr>
            <w:r/>
            <w:r>
              <w:rPr>
                <w:b w:val="0"/>
                <w:i w:val="0"/>
                <w:sz w:val="18"/>
              </w:rPr>
              <w:t>p99 &lt; 400 ms</w:t>
            </w:r>
          </w:p>
        </w:tc>
        <w:tc>
          <w:tcPr>
            <w:tcW w:type="dxa" w:w="2268"/>
          </w:tcPr>
          <w:p>
            <w:pPr>
              <w:spacing w:after="0" w:line="240" w:lineRule="auto"/>
              <w:jc w:val="left"/>
            </w:pPr>
            <w:r/>
            <w:r>
              <w:rPr>
                <w:b w:val="0"/>
                <w:i w:val="0"/>
                <w:sz w:val="18"/>
              </w:rPr>
              <w:t>saldo correto é regra de negócio</w:t>
            </w:r>
          </w:p>
        </w:tc>
      </w:tr>
      <w:tr>
        <w:tc>
          <w:tcPr>
            <w:tcW w:type="dxa" w:w="2041"/>
          </w:tcPr>
          <w:p>
            <w:pPr>
              <w:spacing w:after="0" w:line="240" w:lineRule="auto"/>
              <w:jc w:val="left"/>
            </w:pPr>
            <w:r/>
            <w:r>
              <w:rPr>
                <w:rFonts w:ascii="Consolas" w:hAnsi="Consolas"/>
                <w:b w:val="0"/>
                <w:i w:val="0"/>
                <w:color w:val="8B1A3A"/>
                <w:sz w:val="17"/>
              </w:rPr>
              <w:t>ms-pedidos</w:t>
            </w:r>
          </w:p>
        </w:tc>
        <w:tc>
          <w:tcPr>
            <w:tcW w:type="dxa" w:w="2494"/>
          </w:tcPr>
          <w:p>
            <w:pPr>
              <w:spacing w:after="0" w:line="240" w:lineRule="auto"/>
              <w:jc w:val="left"/>
            </w:pPr>
            <w:r/>
            <w:r>
              <w:rPr>
                <w:b w:val="0"/>
                <w:i w:val="0"/>
                <w:sz w:val="18"/>
              </w:rPr>
              <w:t>99,9%</w:t>
            </w:r>
          </w:p>
        </w:tc>
        <w:tc>
          <w:tcPr>
            <w:tcW w:type="dxa" w:w="2835"/>
          </w:tcPr>
          <w:p>
            <w:pPr>
              <w:spacing w:after="0" w:line="240" w:lineRule="auto"/>
              <w:jc w:val="left"/>
            </w:pPr>
            <w:r/>
            <w:r>
              <w:rPr>
                <w:b w:val="0"/>
                <w:i w:val="0"/>
                <w:sz w:val="18"/>
              </w:rPr>
              <w:t>p95 &lt; 500 ms</w:t>
            </w:r>
          </w:p>
        </w:tc>
        <w:tc>
          <w:tcPr>
            <w:tcW w:type="dxa" w:w="2268"/>
          </w:tcPr>
          <w:p>
            <w:pPr>
              <w:spacing w:after="0" w:line="240" w:lineRule="auto"/>
              <w:jc w:val="left"/>
            </w:pPr>
            <w:r/>
            <w:r>
              <w:rPr>
                <w:b w:val="0"/>
                <w:i w:val="0"/>
                <w:sz w:val="18"/>
              </w:rPr>
              <w:t>erro 5xx &lt; 0,5%</w:t>
            </w:r>
          </w:p>
        </w:tc>
      </w:tr>
      <w:tr>
        <w:tc>
          <w:tcPr>
            <w:tcW w:type="dxa" w:w="2041"/>
          </w:tcPr>
          <w:p>
            <w:pPr>
              <w:spacing w:after="0" w:line="240" w:lineRule="auto"/>
              <w:jc w:val="left"/>
            </w:pPr>
            <w:r/>
            <w:r>
              <w:rPr>
                <w:rFonts w:ascii="Consolas" w:hAnsi="Consolas"/>
                <w:b w:val="0"/>
                <w:i w:val="0"/>
                <w:color w:val="8B1A3A"/>
                <w:sz w:val="17"/>
              </w:rPr>
              <w:t>ms-pagamentos</w:t>
            </w:r>
          </w:p>
        </w:tc>
        <w:tc>
          <w:tcPr>
            <w:tcW w:type="dxa" w:w="2494"/>
          </w:tcPr>
          <w:p>
            <w:pPr>
              <w:spacing w:after="0" w:line="240" w:lineRule="auto"/>
              <w:jc w:val="left"/>
            </w:pPr>
            <w:r/>
            <w:r>
              <w:rPr>
                <w:b w:val="0"/>
                <w:i w:val="0"/>
                <w:sz w:val="18"/>
              </w:rPr>
              <w:t>99,9%</w:t>
            </w:r>
          </w:p>
        </w:tc>
        <w:tc>
          <w:tcPr>
            <w:tcW w:type="dxa" w:w="2835"/>
          </w:tcPr>
          <w:p>
            <w:pPr>
              <w:spacing w:after="0" w:line="240" w:lineRule="auto"/>
              <w:jc w:val="left"/>
            </w:pPr>
            <w:r/>
            <w:r>
              <w:rPr>
                <w:b w:val="0"/>
                <w:i w:val="0"/>
                <w:sz w:val="18"/>
              </w:rPr>
              <w:t>p95 &lt; 1,5 s</w:t>
            </w:r>
          </w:p>
        </w:tc>
        <w:tc>
          <w:tcPr>
            <w:tcW w:type="dxa" w:w="2268"/>
          </w:tcPr>
          <w:p>
            <w:pPr>
              <w:spacing w:after="0" w:line="240" w:lineRule="auto"/>
              <w:jc w:val="left"/>
            </w:pPr>
            <w:r/>
            <w:r>
              <w:rPr>
                <w:b w:val="0"/>
                <w:i w:val="0"/>
                <w:sz w:val="18"/>
              </w:rPr>
              <w:t>nenhuma cobrança duplicada (conferência diária)</w:t>
            </w:r>
          </w:p>
        </w:tc>
      </w:tr>
      <w:tr>
        <w:tc>
          <w:tcPr>
            <w:tcW w:type="dxa" w:w="2041"/>
          </w:tcPr>
          <w:p>
            <w:pPr>
              <w:spacing w:after="0" w:line="240" w:lineRule="auto"/>
              <w:jc w:val="left"/>
            </w:pPr>
            <w:r/>
            <w:r>
              <w:rPr>
                <w:rFonts w:ascii="Consolas" w:hAnsi="Consolas"/>
                <w:b w:val="0"/>
                <w:i w:val="0"/>
                <w:color w:val="8B1A3A"/>
                <w:sz w:val="17"/>
              </w:rPr>
              <w:t>ms-qualidade</w:t>
            </w:r>
          </w:p>
        </w:tc>
        <w:tc>
          <w:tcPr>
            <w:tcW w:type="dxa" w:w="2494"/>
          </w:tcPr>
          <w:p>
            <w:pPr>
              <w:spacing w:after="0" w:line="240" w:lineRule="auto"/>
              <w:jc w:val="left"/>
            </w:pPr>
            <w:r/>
            <w:r>
              <w:rPr>
                <w:b w:val="0"/>
                <w:i w:val="0"/>
                <w:sz w:val="18"/>
              </w:rPr>
              <w:t>99,5%</w:t>
            </w:r>
          </w:p>
        </w:tc>
        <w:tc>
          <w:tcPr>
            <w:tcW w:type="dxa" w:w="2835"/>
          </w:tcPr>
          <w:p>
            <w:pPr>
              <w:spacing w:after="0" w:line="240" w:lineRule="auto"/>
              <w:jc w:val="left"/>
            </w:pPr>
            <w:r/>
            <w:r>
              <w:rPr>
                <w:b w:val="0"/>
                <w:i w:val="0"/>
                <w:sz w:val="18"/>
              </w:rPr>
              <w:t>ingestão &lt; 5 s da leitura</w:t>
            </w:r>
          </w:p>
        </w:tc>
        <w:tc>
          <w:tcPr>
            <w:tcW w:type="dxa" w:w="2268"/>
          </w:tcPr>
          <w:p>
            <w:pPr>
              <w:spacing w:after="0" w:line="240" w:lineRule="auto"/>
              <w:jc w:val="left"/>
            </w:pPr>
            <w:r/>
            <w:r>
              <w:rPr>
                <w:b w:val="0"/>
                <w:i w:val="0"/>
                <w:sz w:val="18"/>
              </w:rPr>
              <w:t>alerta crítico de adega &lt; 30 s</w:t>
            </w:r>
          </w:p>
        </w:tc>
      </w:tr>
      <w:tr>
        <w:tc>
          <w:tcPr>
            <w:tcW w:type="dxa" w:w="2041"/>
          </w:tcPr>
          <w:p>
            <w:pPr>
              <w:spacing w:after="0" w:line="240" w:lineRule="auto"/>
              <w:jc w:val="left"/>
            </w:pPr>
            <w:r/>
            <w:r>
              <w:rPr>
                <w:rFonts w:ascii="Consolas" w:hAnsi="Consolas"/>
                <w:b w:val="0"/>
                <w:i w:val="0"/>
                <w:color w:val="8B1A3A"/>
                <w:sz w:val="17"/>
              </w:rPr>
              <w:t>ms-analytics</w:t>
            </w:r>
          </w:p>
        </w:tc>
        <w:tc>
          <w:tcPr>
            <w:tcW w:type="dxa" w:w="2494"/>
          </w:tcPr>
          <w:p>
            <w:pPr>
              <w:spacing w:after="0" w:line="240" w:lineRule="auto"/>
              <w:jc w:val="left"/>
            </w:pPr>
            <w:r/>
            <w:r>
              <w:rPr>
                <w:b w:val="0"/>
                <w:i w:val="0"/>
                <w:sz w:val="18"/>
              </w:rPr>
              <w:t>99,0%</w:t>
            </w:r>
          </w:p>
        </w:tc>
        <w:tc>
          <w:tcPr>
            <w:tcW w:type="dxa" w:w="2835"/>
          </w:tcPr>
          <w:p>
            <w:pPr>
              <w:spacing w:after="0" w:line="240" w:lineRule="auto"/>
              <w:jc w:val="left"/>
            </w:pPr>
            <w:r/>
            <w:r>
              <w:rPr>
                <w:b w:val="0"/>
                <w:i w:val="0"/>
                <w:sz w:val="18"/>
              </w:rPr>
              <w:t>atualização &lt; 15 min</w:t>
            </w:r>
          </w:p>
        </w:tc>
        <w:tc>
          <w:tcPr>
            <w:tcW w:type="dxa" w:w="2268"/>
          </w:tcPr>
          <w:p>
            <w:pPr>
              <w:spacing w:after="0" w:line="240" w:lineRule="auto"/>
              <w:jc w:val="left"/>
            </w:pPr>
            <w:r/>
            <w:r>
              <w:rPr>
                <w:b w:val="0"/>
                <w:i w:val="0"/>
                <w:sz w:val="18"/>
              </w:rPr>
              <w:t>atraso não afeta venda</w:t>
            </w:r>
          </w:p>
        </w:tc>
      </w:tr>
    </w:tbl>
    <w:p>
      <w:pPr>
        <w:pStyle w:val="Heading2"/>
      </w:pPr>
      <w:r>
        <w:rPr>
          <w:b w:val="0"/>
          <w:i w:val="0"/>
          <w:sz w:val="22"/>
        </w:rPr>
        <w:t>5.8 Segurança da informação, segredos e LGPD</w:t>
      </w:r>
    </w:p>
    <w:p>
      <w:pPr>
        <w:pStyle w:val="Heading3"/>
      </w:pPr>
      <w:r>
        <w:rPr>
          <w:b w:val="0"/>
          <w:i w:val="0"/>
          <w:sz w:val="22"/>
        </w:rPr>
        <w:t>5.8.1 Gestão de segredos</w:t>
      </w:r>
    </w:p>
    <w:p>
      <w:pPr>
        <w:keepNext/>
        <w:spacing w:after="60" w:before="0"/>
        <w:jc w:val="left"/>
      </w:pPr>
      <w:r>
        <w:rPr>
          <w:b w:val="0"/>
          <w:i/>
          <w:color w:val="595959"/>
          <w:sz w:val="19"/>
        </w:rPr>
        <w:t>Tabela 23 — Gestão de segredos: hoje e na arquitetura proposta</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3685"/>
            <w:shd w:val="clear" w:fill="F4E7EB"/>
          </w:tcPr>
          <w:p>
            <w:pPr>
              <w:spacing w:after="0"/>
              <w:jc w:val="left"/>
            </w:pPr>
            <w:r>
              <w:rPr>
                <w:b/>
              </w:rPr>
            </w:r>
            <w:r>
              <w:rPr>
                <w:b/>
                <w:i w:val="0"/>
                <w:sz w:val="19"/>
              </w:rPr>
              <w:t>Hoje</w:t>
            </w:r>
          </w:p>
        </w:tc>
        <w:tc>
          <w:tcPr>
            <w:tcW w:type="dxa" w:w="5953"/>
            <w:shd w:val="clear" w:fill="F4E7EB"/>
          </w:tcPr>
          <w:p>
            <w:pPr>
              <w:spacing w:after="0"/>
              <w:jc w:val="left"/>
            </w:pPr>
            <w:r>
              <w:rPr>
                <w:b/>
              </w:rPr>
            </w:r>
            <w:r>
              <w:rPr>
                <w:b/>
                <w:i w:val="0"/>
                <w:sz w:val="19"/>
              </w:rPr>
              <w:t>Como fica</w:t>
            </w:r>
          </w:p>
        </w:tc>
      </w:tr>
      <w:tr>
        <w:tc>
          <w:tcPr>
            <w:tcW w:type="dxa" w:w="3685"/>
          </w:tcPr>
          <w:p>
            <w:pPr>
              <w:spacing w:after="0" w:line="240" w:lineRule="auto"/>
              <w:jc w:val="left"/>
            </w:pPr>
            <w:r/>
            <w:r>
              <w:rPr>
                <w:b w:val="0"/>
                <w:i w:val="0"/>
                <w:sz w:val="19"/>
              </w:rPr>
              <w:t>Credenciais MQTT e cadeia de conexão em arquivo de configuração (</w:t>
            </w:r>
            <w:r>
              <w:rPr>
                <w:rFonts w:ascii="Consolas" w:hAnsi="Consolas"/>
                <w:b w:val="0"/>
                <w:i w:val="0"/>
                <w:color w:val="8B1A3A"/>
                <w:sz w:val="18"/>
              </w:rPr>
              <w:t>appsettings.json</w:t>
            </w:r>
            <w:r>
              <w:rPr>
                <w:b w:val="0"/>
                <w:i w:val="0"/>
                <w:sz w:val="19"/>
              </w:rPr>
              <w:t>) e no README (</w:t>
            </w:r>
            <w:r>
              <w:rPr>
                <w:rFonts w:ascii="Consolas" w:hAnsi="Consolas"/>
                <w:b w:val="0"/>
                <w:i w:val="0"/>
                <w:color w:val="8B1A3A"/>
                <w:sz w:val="18"/>
              </w:rPr>
              <w:t>&lt;USUARIO&gt;</w:t>
            </w:r>
            <w:r>
              <w:rPr>
                <w:b w:val="0"/>
                <w:i w:val="0"/>
                <w:sz w:val="19"/>
              </w:rPr>
              <w:t>/</w:t>
            </w:r>
            <w:r>
              <w:rPr>
                <w:rFonts w:ascii="Consolas" w:hAnsi="Consolas"/>
                <w:b w:val="0"/>
                <w:i w:val="0"/>
                <w:color w:val="8B1A3A"/>
                <w:sz w:val="18"/>
              </w:rPr>
              <w:t>&lt;SENHA&gt;</w:t>
            </w:r>
            <w:r>
              <w:rPr>
                <w:b w:val="0"/>
                <w:i w:val="0"/>
                <w:sz w:val="19"/>
              </w:rPr>
              <w:t>)</w:t>
            </w:r>
          </w:p>
        </w:tc>
        <w:tc>
          <w:tcPr>
            <w:tcW w:type="dxa" w:w="5953"/>
          </w:tcPr>
          <w:p>
            <w:pPr>
              <w:spacing w:after="0" w:line="240" w:lineRule="auto"/>
              <w:jc w:val="left"/>
            </w:pPr>
            <w:r/>
            <w:r>
              <w:rPr>
                <w:b w:val="0"/>
                <w:i w:val="0"/>
                <w:sz w:val="19"/>
              </w:rPr>
              <w:t>Segredos em cofre (</w:t>
            </w:r>
            <w:r>
              <w:rPr>
                <w:b/>
                <w:i w:val="0"/>
                <w:sz w:val="19"/>
              </w:rPr>
              <w:t>Vault</w:t>
            </w:r>
            <w:r>
              <w:rPr>
                <w:b w:val="0"/>
                <w:i w:val="0"/>
                <w:sz w:val="19"/>
              </w:rPr>
              <w:t xml:space="preserve"> / </w:t>
            </w:r>
            <w:r>
              <w:rPr>
                <w:b w:val="0"/>
                <w:i/>
                <w:sz w:val="19"/>
              </w:rPr>
              <w:t>sealed secrets</w:t>
            </w:r>
            <w:r>
              <w:rPr>
                <w:b w:val="0"/>
                <w:i w:val="0"/>
                <w:sz w:val="19"/>
              </w:rPr>
              <w:t>), injetados em tempo de execução; nada de segredo em repositório, em imagem ou em log</w:t>
            </w:r>
          </w:p>
        </w:tc>
      </w:tr>
      <w:tr>
        <w:tc>
          <w:tcPr>
            <w:tcW w:type="dxa" w:w="3685"/>
          </w:tcPr>
          <w:p>
            <w:pPr>
              <w:spacing w:after="0" w:line="240" w:lineRule="auto"/>
              <w:jc w:val="left"/>
            </w:pPr>
            <w:r/>
            <w:r>
              <w:rPr>
                <w:b w:val="0"/>
                <w:i w:val="0"/>
                <w:sz w:val="19"/>
              </w:rPr>
              <w:t>Senha de usuário em texto claro na memória (</w:t>
            </w:r>
            <w:r>
              <w:rPr>
                <w:rFonts w:ascii="Consolas" w:hAnsi="Consolas"/>
                <w:b w:val="0"/>
                <w:i w:val="0"/>
                <w:color w:val="8B1A3A"/>
                <w:sz w:val="18"/>
              </w:rPr>
              <w:t>InMemoryDatabase.CREDENTIALS</w:t>
            </w:r>
            <w:r>
              <w:rPr>
                <w:b w:val="0"/>
                <w:i w:val="0"/>
                <w:sz w:val="19"/>
              </w:rPr>
              <w:t>)</w:t>
            </w:r>
          </w:p>
        </w:tc>
        <w:tc>
          <w:tcPr>
            <w:tcW w:type="dxa" w:w="5953"/>
          </w:tcPr>
          <w:p>
            <w:pPr>
              <w:spacing w:after="0" w:line="240" w:lineRule="auto"/>
              <w:jc w:val="left"/>
            </w:pPr>
            <w:r/>
            <w:r>
              <w:rPr>
                <w:b w:val="0"/>
                <w:i w:val="0"/>
                <w:sz w:val="19"/>
              </w:rPr>
              <w:t>Senha nunca é armazenada por serviço de negócio: quem autentica é o Keycloak (hash com Argon2id/bcrypt)</w:t>
            </w:r>
          </w:p>
        </w:tc>
      </w:tr>
      <w:tr>
        <w:tc>
          <w:tcPr>
            <w:tcW w:type="dxa" w:w="3685"/>
          </w:tcPr>
          <w:p>
            <w:pPr>
              <w:spacing w:after="0" w:line="240" w:lineRule="auto"/>
              <w:jc w:val="left"/>
            </w:pPr>
            <w:r/>
            <w:r>
              <w:rPr>
                <w:b w:val="0"/>
                <w:i w:val="0"/>
                <w:sz w:val="19"/>
              </w:rPr>
              <w:t>Token estático de API</w:t>
            </w:r>
          </w:p>
        </w:tc>
        <w:tc>
          <w:tcPr>
            <w:tcW w:type="dxa" w:w="5953"/>
          </w:tcPr>
          <w:p>
            <w:pPr>
              <w:spacing w:after="0" w:line="240" w:lineRule="auto"/>
              <w:jc w:val="left"/>
            </w:pPr>
            <w:r/>
            <w:r>
              <w:rPr>
                <w:b w:val="0"/>
                <w:i w:val="0"/>
                <w:sz w:val="19"/>
              </w:rPr>
              <w:t xml:space="preserve">Token de serviço de vida curta, emitido por </w:t>
            </w:r>
            <w:r>
              <w:rPr>
                <w:b w:val="0"/>
                <w:i/>
                <w:sz w:val="19"/>
              </w:rPr>
              <w:t>Client Credentials</w:t>
            </w:r>
            <w:r>
              <w:rPr>
                <w:b w:val="0"/>
                <w:i w:val="0"/>
                <w:sz w:val="19"/>
              </w:rPr>
              <w:t>, com rotação automática</w:t>
            </w:r>
          </w:p>
        </w:tc>
      </w:tr>
      <w:tr>
        <w:tc>
          <w:tcPr>
            <w:tcW w:type="dxa" w:w="3685"/>
          </w:tcPr>
          <w:p>
            <w:pPr>
              <w:spacing w:after="0" w:line="240" w:lineRule="auto"/>
              <w:jc w:val="left"/>
            </w:pPr>
            <w:r/>
            <w:r>
              <w:rPr>
                <w:b w:val="0"/>
                <w:i w:val="0"/>
                <w:sz w:val="19"/>
              </w:rPr>
              <w:t>Sem política de rotação</w:t>
            </w:r>
          </w:p>
        </w:tc>
        <w:tc>
          <w:tcPr>
            <w:tcW w:type="dxa" w:w="5953"/>
          </w:tcPr>
          <w:p>
            <w:pPr>
              <w:spacing w:after="0" w:line="240" w:lineRule="auto"/>
              <w:jc w:val="left"/>
            </w:pPr>
            <w:r/>
            <w:r>
              <w:rPr>
                <w:b w:val="0"/>
                <w:i w:val="0"/>
                <w:sz w:val="19"/>
              </w:rPr>
              <w:t>Rotação programada de segredos de broker, banco e adquirente (90 dias, no máximo) e imediata em caso de vazamento</w:t>
            </w:r>
          </w:p>
        </w:tc>
      </w:tr>
    </w:tbl>
    <w:p>
      <w:pPr>
        <w:pStyle w:val="Heading3"/>
      </w:pPr>
      <w:r>
        <w:rPr>
          <w:b w:val="0"/>
          <w:i w:val="0"/>
          <w:sz w:val="22"/>
        </w:rPr>
        <w:t>5.8.2 LGPD</w:t>
      </w:r>
    </w:p>
    <w:p>
      <w:pPr>
        <w:keepNext/>
        <w:spacing w:after="60" w:before="0"/>
        <w:jc w:val="left"/>
      </w:pPr>
      <w:r>
        <w:rPr>
          <w:b w:val="0"/>
          <w:i/>
          <w:color w:val="595959"/>
          <w:sz w:val="19"/>
        </w:rPr>
        <w:t>Tabela 24 — LGPD: item e tratamento</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1701"/>
            <w:shd w:val="clear" w:fill="F4E7EB"/>
          </w:tcPr>
          <w:p>
            <w:pPr>
              <w:spacing w:after="0"/>
              <w:jc w:val="left"/>
            </w:pPr>
            <w:r>
              <w:rPr>
                <w:b/>
              </w:rPr>
            </w:r>
            <w:r>
              <w:rPr>
                <w:b/>
                <w:i w:val="0"/>
                <w:sz w:val="19"/>
              </w:rPr>
              <w:t>Item</w:t>
            </w:r>
          </w:p>
        </w:tc>
        <w:tc>
          <w:tcPr>
            <w:tcW w:type="dxa" w:w="7937"/>
            <w:shd w:val="clear" w:fill="F4E7EB"/>
          </w:tcPr>
          <w:p>
            <w:pPr>
              <w:spacing w:after="0"/>
              <w:jc w:val="left"/>
            </w:pPr>
            <w:r>
              <w:rPr>
                <w:b/>
              </w:rPr>
            </w:r>
            <w:r>
              <w:rPr>
                <w:b/>
                <w:i w:val="0"/>
                <w:sz w:val="19"/>
              </w:rPr>
              <w:t>Como tratamos</w:t>
            </w:r>
          </w:p>
        </w:tc>
      </w:tr>
      <w:tr>
        <w:tc>
          <w:tcPr>
            <w:tcW w:type="dxa" w:w="1701"/>
          </w:tcPr>
          <w:p>
            <w:pPr>
              <w:spacing w:after="0" w:line="240" w:lineRule="auto"/>
              <w:jc w:val="left"/>
            </w:pPr>
            <w:r/>
            <w:r>
              <w:rPr>
                <w:b w:val="0"/>
                <w:i w:val="0"/>
                <w:sz w:val="19"/>
              </w:rPr>
              <w:t>Base legal e finalidade</w:t>
            </w:r>
          </w:p>
        </w:tc>
        <w:tc>
          <w:tcPr>
            <w:tcW w:type="dxa" w:w="7937"/>
          </w:tcPr>
          <w:p>
            <w:pPr>
              <w:spacing w:after="0" w:line="240" w:lineRule="auto"/>
              <w:jc w:val="left"/>
            </w:pPr>
            <w:r/>
            <w:r>
              <w:rPr>
                <w:b w:val="0"/>
                <w:i w:val="0"/>
                <w:sz w:val="19"/>
              </w:rPr>
              <w:t xml:space="preserve">Cadastro e pedido = execução de contrato; campanha/marketing = </w:t>
            </w:r>
            <w:r>
              <w:rPr>
                <w:b/>
                <w:i w:val="0"/>
                <w:sz w:val="19"/>
              </w:rPr>
              <w:t>consentimento explícito e granular</w:t>
            </w:r>
            <w:r>
              <w:rPr>
                <w:b w:val="0"/>
                <w:i w:val="0"/>
                <w:sz w:val="19"/>
              </w:rPr>
              <w:t>, registrado com data e versão do texto</w:t>
            </w:r>
          </w:p>
        </w:tc>
      </w:tr>
      <w:tr>
        <w:tc>
          <w:tcPr>
            <w:tcW w:type="dxa" w:w="1701"/>
          </w:tcPr>
          <w:p>
            <w:pPr>
              <w:spacing w:after="0" w:line="240" w:lineRule="auto"/>
              <w:jc w:val="left"/>
            </w:pPr>
            <w:r/>
            <w:r>
              <w:rPr>
                <w:b w:val="0"/>
                <w:i w:val="0"/>
                <w:sz w:val="19"/>
              </w:rPr>
              <w:t>Minimização</w:t>
            </w:r>
          </w:p>
        </w:tc>
        <w:tc>
          <w:tcPr>
            <w:tcW w:type="dxa" w:w="7937"/>
          </w:tcPr>
          <w:p>
            <w:pPr>
              <w:spacing w:after="0" w:line="240" w:lineRule="auto"/>
              <w:jc w:val="left"/>
            </w:pPr>
            <w:r/>
            <w:r>
              <w:rPr>
                <w:b w:val="0"/>
                <w:i w:val="0"/>
                <w:sz w:val="19"/>
              </w:rPr>
              <w:t xml:space="preserve">A base analítica não precisa de nome, e-mail nem CPF: o </w:t>
            </w:r>
            <w:r>
              <w:rPr>
                <w:rFonts w:ascii="Consolas" w:hAnsi="Consolas"/>
                <w:b w:val="0"/>
                <w:i w:val="0"/>
                <w:color w:val="8B1A3A"/>
                <w:sz w:val="18"/>
              </w:rPr>
              <w:t>ms-analytics</w:t>
            </w:r>
            <w:r>
              <w:rPr>
                <w:b w:val="0"/>
                <w:i w:val="0"/>
                <w:sz w:val="19"/>
              </w:rPr>
              <w:t xml:space="preserve"> recebe evento com </w:t>
            </w:r>
            <w:r>
              <w:rPr>
                <w:b/>
                <w:i w:val="0"/>
                <w:sz w:val="19"/>
              </w:rPr>
              <w:t>identificador pseudonimizado</w:t>
            </w:r>
            <w:r>
              <w:rPr>
                <w:b w:val="0"/>
                <w:i w:val="0"/>
                <w:sz w:val="19"/>
              </w:rPr>
              <w:t xml:space="preserve"> (</w:t>
            </w:r>
            <w:r>
              <w:rPr>
                <w:rFonts w:ascii="Consolas" w:hAnsi="Consolas"/>
                <w:b w:val="0"/>
                <w:i w:val="0"/>
                <w:color w:val="8B1A3A"/>
                <w:sz w:val="18"/>
              </w:rPr>
              <w:t>clienteId</w:t>
            </w:r>
            <w:r>
              <w:rPr>
                <w:b w:val="0"/>
                <w:i w:val="0"/>
                <w:sz w:val="19"/>
              </w:rPr>
              <w:t xml:space="preserve"> → </w:t>
            </w:r>
            <w:r>
              <w:rPr>
                <w:b w:val="0"/>
                <w:i/>
                <w:sz w:val="19"/>
              </w:rPr>
              <w:t>hash</w:t>
            </w:r>
            <w:r>
              <w:rPr>
                <w:b w:val="0"/>
                <w:i w:val="0"/>
                <w:sz w:val="19"/>
              </w:rPr>
              <w:t xml:space="preserve"> por safra de chave), nunca o cadastro</w:t>
            </w:r>
          </w:p>
        </w:tc>
      </w:tr>
      <w:tr>
        <w:tc>
          <w:tcPr>
            <w:tcW w:type="dxa" w:w="1701"/>
          </w:tcPr>
          <w:p>
            <w:pPr>
              <w:spacing w:after="0" w:line="240" w:lineRule="auto"/>
              <w:jc w:val="left"/>
            </w:pPr>
            <w:r/>
            <w:r>
              <w:rPr>
                <w:b w:val="0"/>
                <w:i w:val="0"/>
                <w:sz w:val="19"/>
              </w:rPr>
              <w:t>O caso do CSV atual</w:t>
            </w:r>
          </w:p>
        </w:tc>
        <w:tc>
          <w:tcPr>
            <w:tcW w:type="dxa" w:w="7937"/>
          </w:tcPr>
          <w:p>
            <w:pPr>
              <w:spacing w:after="0" w:line="240" w:lineRule="auto"/>
              <w:jc w:val="left"/>
            </w:pPr>
            <w:r/>
            <w:r>
              <w:rPr>
                <w:rFonts w:ascii="Consolas" w:hAnsi="Consolas"/>
                <w:b w:val="0"/>
                <w:i w:val="0"/>
                <w:color w:val="8B1A3A"/>
                <w:sz w:val="18"/>
              </w:rPr>
              <w:t>historico_vendas-vinheria_agnello.csv</w:t>
            </w:r>
            <w:r>
              <w:rPr>
                <w:b w:val="0"/>
                <w:i w:val="0"/>
                <w:sz w:val="19"/>
              </w:rPr>
              <w:t xml:space="preserve"> traz </w:t>
            </w:r>
            <w:r>
              <w:rPr>
                <w:rFonts w:ascii="Consolas" w:hAnsi="Consolas"/>
                <w:b w:val="0"/>
                <w:i w:val="0"/>
                <w:color w:val="8B1A3A"/>
                <w:sz w:val="18"/>
              </w:rPr>
              <w:t>Idade_Cliente</w:t>
            </w:r>
            <w:r>
              <w:rPr>
                <w:b w:val="0"/>
                <w:i w:val="0"/>
                <w:sz w:val="19"/>
              </w:rPr>
              <w:t xml:space="preserve">: dado pessoal em base analítica. Na arquitetura proposta, idade entra </w:t>
            </w:r>
            <w:r>
              <w:rPr>
                <w:b/>
                <w:i w:val="0"/>
                <w:sz w:val="19"/>
              </w:rPr>
              <w:t>agregada por faixa</w:t>
            </w:r>
            <w:r>
              <w:rPr>
                <w:b w:val="0"/>
                <w:i w:val="0"/>
                <w:sz w:val="19"/>
              </w:rPr>
              <w:t xml:space="preserve"> (18-24, 25-34, …) e o bruto fica no </w:t>
            </w:r>
            <w:r>
              <w:rPr>
                <w:rFonts w:ascii="Consolas" w:hAnsi="Consolas"/>
                <w:b w:val="0"/>
                <w:i w:val="0"/>
                <w:color w:val="8B1A3A"/>
                <w:sz w:val="18"/>
              </w:rPr>
              <w:t>ms-clientes</w:t>
            </w:r>
            <w:r>
              <w:rPr>
                <w:b w:val="0"/>
                <w:i w:val="0"/>
                <w:sz w:val="19"/>
              </w:rPr>
              <w:t>, com acesso auditado</w:t>
            </w:r>
          </w:p>
        </w:tc>
      </w:tr>
      <w:tr>
        <w:tc>
          <w:tcPr>
            <w:tcW w:type="dxa" w:w="1701"/>
          </w:tcPr>
          <w:p>
            <w:pPr>
              <w:spacing w:after="0" w:line="240" w:lineRule="auto"/>
              <w:jc w:val="left"/>
            </w:pPr>
            <w:r/>
            <w:r>
              <w:rPr>
                <w:b w:val="0"/>
                <w:i w:val="0"/>
                <w:sz w:val="19"/>
              </w:rPr>
              <w:t>Direito do titular</w:t>
            </w:r>
          </w:p>
        </w:tc>
        <w:tc>
          <w:tcPr>
            <w:tcW w:type="dxa" w:w="7937"/>
          </w:tcPr>
          <w:p>
            <w:pPr>
              <w:spacing w:after="0" w:line="240" w:lineRule="auto"/>
              <w:jc w:val="left"/>
            </w:pPr>
            <w:r/>
            <w:r>
              <w:rPr>
                <w:b w:val="0"/>
                <w:i w:val="0"/>
                <w:sz w:val="19"/>
              </w:rPr>
              <w:t xml:space="preserve">Exclusão/anonimização no </w:t>
            </w:r>
            <w:r>
              <w:rPr>
                <w:rFonts w:ascii="Consolas" w:hAnsi="Consolas"/>
                <w:b w:val="0"/>
                <w:i w:val="0"/>
                <w:color w:val="8B1A3A"/>
                <w:sz w:val="18"/>
              </w:rPr>
              <w:t>ms-clientes</w:t>
            </w:r>
            <w:r>
              <w:rPr>
                <w:b w:val="0"/>
                <w:i w:val="0"/>
                <w:sz w:val="19"/>
              </w:rPr>
              <w:t xml:space="preserve"> dispara evento </w:t>
            </w:r>
            <w:r>
              <w:rPr>
                <w:rFonts w:ascii="Consolas" w:hAnsi="Consolas"/>
                <w:b w:val="0"/>
                <w:i w:val="0"/>
                <w:color w:val="8B1A3A"/>
                <w:sz w:val="18"/>
              </w:rPr>
              <w:t>cliente.anonimizado</w:t>
            </w:r>
            <w:r>
              <w:rPr>
                <w:b w:val="0"/>
                <w:i w:val="0"/>
                <w:sz w:val="19"/>
              </w:rPr>
              <w:t xml:space="preserve">; </w:t>
            </w:r>
            <w:r>
              <w:rPr>
                <w:rFonts w:ascii="Consolas" w:hAnsi="Consolas"/>
                <w:b w:val="0"/>
                <w:i w:val="0"/>
                <w:color w:val="8B1A3A"/>
                <w:sz w:val="18"/>
              </w:rPr>
              <w:t>ms-analytics</w:t>
            </w:r>
            <w:r>
              <w:rPr>
                <w:b w:val="0"/>
                <w:i w:val="0"/>
                <w:sz w:val="19"/>
              </w:rPr>
              <w:t xml:space="preserve"> e </w:t>
            </w:r>
            <w:r>
              <w:rPr>
                <w:rFonts w:ascii="Consolas" w:hAnsi="Consolas"/>
                <w:b w:val="0"/>
                <w:i w:val="0"/>
                <w:color w:val="8B1A3A"/>
                <w:sz w:val="18"/>
              </w:rPr>
              <w:t>ms-notificacoes</w:t>
            </w:r>
            <w:r>
              <w:rPr>
                <w:b w:val="0"/>
                <w:i w:val="0"/>
                <w:sz w:val="19"/>
              </w:rPr>
              <w:t xml:space="preserve"> reagem — sem depender de varredura manual</w:t>
            </w:r>
          </w:p>
        </w:tc>
      </w:tr>
      <w:tr>
        <w:tc>
          <w:tcPr>
            <w:tcW w:type="dxa" w:w="1701"/>
          </w:tcPr>
          <w:p>
            <w:pPr>
              <w:spacing w:after="0" w:line="240" w:lineRule="auto"/>
              <w:jc w:val="left"/>
            </w:pPr>
            <w:r/>
            <w:r>
              <w:rPr>
                <w:b w:val="0"/>
                <w:i w:val="0"/>
                <w:sz w:val="19"/>
              </w:rPr>
              <w:t>Retenção</w:t>
            </w:r>
          </w:p>
        </w:tc>
        <w:tc>
          <w:tcPr>
            <w:tcW w:type="dxa" w:w="7937"/>
          </w:tcPr>
          <w:p>
            <w:pPr>
              <w:spacing w:after="0" w:line="240" w:lineRule="auto"/>
              <w:jc w:val="left"/>
            </w:pPr>
            <w:r/>
            <w:r>
              <w:rPr>
                <w:b w:val="0"/>
                <w:i w:val="0"/>
                <w:sz w:val="19"/>
              </w:rPr>
              <w:t>Pedido fiscal: 5 anos. Telemetria de adega: 12 meses em série temporal, depois agregada. Log com dado pessoal: 30 dias</w:t>
            </w:r>
          </w:p>
        </w:tc>
      </w:tr>
      <w:tr>
        <w:tc>
          <w:tcPr>
            <w:tcW w:type="dxa" w:w="1701"/>
          </w:tcPr>
          <w:p>
            <w:pPr>
              <w:spacing w:after="0" w:line="240" w:lineRule="auto"/>
              <w:jc w:val="left"/>
            </w:pPr>
            <w:r/>
            <w:r>
              <w:rPr>
                <w:b w:val="0"/>
                <w:i w:val="0"/>
                <w:sz w:val="19"/>
              </w:rPr>
              <w:t>Logs e trace</w:t>
            </w:r>
          </w:p>
        </w:tc>
        <w:tc>
          <w:tcPr>
            <w:tcW w:type="dxa" w:w="7937"/>
          </w:tcPr>
          <w:p>
            <w:pPr>
              <w:spacing w:after="0" w:line="240" w:lineRule="auto"/>
              <w:jc w:val="left"/>
            </w:pPr>
            <w:r/>
            <w:r>
              <w:rPr>
                <w:b w:val="0"/>
                <w:i w:val="0"/>
                <w:sz w:val="19"/>
              </w:rPr>
              <w:t>CPF/e-mail/telefone mascarados (</w:t>
            </w:r>
            <w:r>
              <w:rPr>
                <w:rFonts w:ascii="Consolas" w:hAnsi="Consolas"/>
                <w:b w:val="0"/>
                <w:i w:val="0"/>
                <w:color w:val="8B1A3A"/>
                <w:sz w:val="18"/>
              </w:rPr>
              <w:t>***.***.***-**</w:t>
            </w:r>
            <w:r>
              <w:rPr>
                <w:b w:val="0"/>
                <w:i w:val="0"/>
                <w:sz w:val="19"/>
              </w:rPr>
              <w:t xml:space="preserve">, </w:t>
            </w:r>
            <w:r>
              <w:rPr>
                <w:rFonts w:ascii="Consolas" w:hAnsi="Consolas"/>
                <w:b w:val="0"/>
                <w:i w:val="0"/>
                <w:color w:val="8B1A3A"/>
                <w:sz w:val="18"/>
              </w:rPr>
              <w:t>a***@dominio</w:t>
            </w:r>
            <w:r>
              <w:rPr>
                <w:b w:val="0"/>
                <w:i w:val="0"/>
                <w:sz w:val="19"/>
              </w:rPr>
              <w:t xml:space="preserve">) na origem; </w:t>
            </w:r>
            <w:r>
              <w:rPr>
                <w:rFonts w:ascii="Consolas" w:hAnsi="Consolas"/>
                <w:b w:val="0"/>
                <w:i w:val="0"/>
                <w:color w:val="8B1A3A"/>
                <w:sz w:val="18"/>
              </w:rPr>
              <w:t>traceId</w:t>
            </w:r>
            <w:r>
              <w:rPr>
                <w:b w:val="0"/>
                <w:i w:val="0"/>
                <w:sz w:val="19"/>
              </w:rPr>
              <w:t xml:space="preserve"> ≠ dado pessoal</w:t>
            </w:r>
          </w:p>
        </w:tc>
      </w:tr>
      <w:tr>
        <w:tc>
          <w:tcPr>
            <w:tcW w:type="dxa" w:w="1701"/>
          </w:tcPr>
          <w:p>
            <w:pPr>
              <w:spacing w:after="0" w:line="240" w:lineRule="auto"/>
              <w:jc w:val="left"/>
            </w:pPr>
            <w:r/>
            <w:r>
              <w:rPr>
                <w:b w:val="0"/>
                <w:i w:val="0"/>
                <w:sz w:val="19"/>
              </w:rPr>
              <w:t>Trilha de auditoria</w:t>
            </w:r>
          </w:p>
        </w:tc>
        <w:tc>
          <w:tcPr>
            <w:tcW w:type="dxa" w:w="7937"/>
          </w:tcPr>
          <w:p>
            <w:pPr>
              <w:spacing w:after="0" w:line="240" w:lineRule="auto"/>
              <w:jc w:val="left"/>
            </w:pPr>
            <w:r/>
            <w:r>
              <w:rPr>
                <w:b w:val="0"/>
                <w:i w:val="0"/>
                <w:sz w:val="19"/>
              </w:rPr>
              <w:t xml:space="preserve">Toda ação de </w:t>
            </w:r>
            <w:r>
              <w:rPr>
                <w:rFonts w:ascii="Consolas" w:hAnsi="Consolas"/>
                <w:b w:val="0"/>
                <w:i w:val="0"/>
                <w:color w:val="8B1A3A"/>
                <w:sz w:val="18"/>
              </w:rPr>
              <w:t>admin</w:t>
            </w:r>
            <w:r>
              <w:rPr>
                <w:b w:val="0"/>
                <w:i w:val="0"/>
                <w:sz w:val="19"/>
              </w:rPr>
              <w:t xml:space="preserve">, </w:t>
            </w:r>
            <w:r>
              <w:rPr>
                <w:rFonts w:ascii="Consolas" w:hAnsi="Consolas"/>
                <w:b w:val="0"/>
                <w:i w:val="0"/>
                <w:color w:val="8B1A3A"/>
                <w:sz w:val="18"/>
              </w:rPr>
              <w:t>gestor-adega</w:t>
            </w:r>
            <w:r>
              <w:rPr>
                <w:b w:val="0"/>
                <w:i w:val="0"/>
                <w:sz w:val="19"/>
              </w:rPr>
              <w:t xml:space="preserve"> e </w:t>
            </w:r>
            <w:r>
              <w:rPr>
                <w:rFonts w:ascii="Consolas" w:hAnsi="Consolas"/>
                <w:b w:val="0"/>
                <w:i w:val="0"/>
                <w:color w:val="8B1A3A"/>
                <w:sz w:val="18"/>
              </w:rPr>
              <w:t>enologo</w:t>
            </w:r>
            <w:r>
              <w:rPr>
                <w:b w:val="0"/>
                <w:i w:val="0"/>
                <w:sz w:val="19"/>
              </w:rPr>
              <w:t xml:space="preserve"> (alterar preço, ajustar estoque, emitir laudo, estornar) grava quem/quando/o quê/antes-depois, em </w:t>
            </w:r>
            <w:r>
              <w:rPr>
                <w:b w:val="0"/>
                <w:i/>
                <w:sz w:val="19"/>
              </w:rPr>
              <w:t>append-only</w:t>
            </w:r>
          </w:p>
        </w:tc>
      </w:tr>
      <w:tr>
        <w:tc>
          <w:tcPr>
            <w:tcW w:type="dxa" w:w="1701"/>
          </w:tcPr>
          <w:p>
            <w:pPr>
              <w:spacing w:after="0" w:line="240" w:lineRule="auto"/>
              <w:jc w:val="left"/>
            </w:pPr>
            <w:r/>
            <w:r>
              <w:rPr>
                <w:b w:val="0"/>
                <w:i w:val="0"/>
                <w:sz w:val="19"/>
              </w:rPr>
              <w:t>Pagamentos (PCI-DSS)</w:t>
            </w:r>
          </w:p>
        </w:tc>
        <w:tc>
          <w:tcPr>
            <w:tcW w:type="dxa" w:w="7937"/>
          </w:tcPr>
          <w:p>
            <w:pPr>
              <w:spacing w:after="0" w:line="240" w:lineRule="auto"/>
              <w:jc w:val="left"/>
            </w:pPr>
            <w:r/>
            <w:r>
              <w:rPr>
                <w:b w:val="0"/>
                <w:i w:val="0"/>
                <w:sz w:val="19"/>
              </w:rPr>
              <w:t xml:space="preserve">Número de cartão </w:t>
            </w:r>
            <w:r>
              <w:rPr>
                <w:b/>
                <w:i w:val="0"/>
                <w:sz w:val="19"/>
              </w:rPr>
              <w:t>nunca</w:t>
            </w:r>
            <w:r>
              <w:rPr>
                <w:b w:val="0"/>
                <w:i w:val="0"/>
                <w:sz w:val="19"/>
              </w:rPr>
              <w:t xml:space="preserve"> entra no nosso domínio: tokenização no adquirente; o </w:t>
            </w:r>
            <w:r>
              <w:rPr>
                <w:rFonts w:ascii="Consolas" w:hAnsi="Consolas"/>
                <w:b w:val="0"/>
                <w:i w:val="0"/>
                <w:color w:val="8B1A3A"/>
                <w:sz w:val="18"/>
              </w:rPr>
              <w:t>ms-pagamentos</w:t>
            </w:r>
            <w:r>
              <w:rPr>
                <w:b w:val="0"/>
                <w:i w:val="0"/>
                <w:sz w:val="19"/>
              </w:rPr>
              <w:t xml:space="preserve"> guarda apenas </w:t>
            </w:r>
            <w:r>
              <w:rPr>
                <w:b w:val="0"/>
                <w:i/>
                <w:sz w:val="19"/>
              </w:rPr>
              <w:t>token</w:t>
            </w:r>
            <w:r>
              <w:rPr>
                <w:b w:val="0"/>
                <w:i w:val="0"/>
                <w:sz w:val="19"/>
              </w:rPr>
              <w:t>, bandeira, últimos 4 dígitos e status</w:t>
            </w:r>
          </w:p>
        </w:tc>
      </w:tr>
      <w:tr>
        <w:tc>
          <w:tcPr>
            <w:tcW w:type="dxa" w:w="1701"/>
          </w:tcPr>
          <w:p>
            <w:pPr>
              <w:spacing w:after="0" w:line="240" w:lineRule="auto"/>
              <w:jc w:val="left"/>
            </w:pPr>
            <w:r/>
            <w:r>
              <w:rPr>
                <w:b w:val="0"/>
                <w:i w:val="0"/>
                <w:sz w:val="19"/>
              </w:rPr>
              <w:t>Mobile</w:t>
            </w:r>
          </w:p>
        </w:tc>
        <w:tc>
          <w:tcPr>
            <w:tcW w:type="dxa" w:w="7937"/>
          </w:tcPr>
          <w:p>
            <w:pPr>
              <w:spacing w:after="0" w:line="240" w:lineRule="auto"/>
              <w:jc w:val="left"/>
            </w:pPr>
            <w:r/>
            <w:r>
              <w:rPr>
                <w:b w:val="0"/>
                <w:i w:val="0"/>
                <w:sz w:val="19"/>
              </w:rPr>
              <w:t xml:space="preserve">Banco Room cifrado (SQLCipher), token no Android Keystore, </w:t>
            </w:r>
            <w:r>
              <w:rPr>
                <w:b w:val="0"/>
                <w:i/>
                <w:sz w:val="19"/>
              </w:rPr>
              <w:t>cache</w:t>
            </w:r>
            <w:r>
              <w:rPr>
                <w:b w:val="0"/>
                <w:i w:val="0"/>
                <w:sz w:val="19"/>
              </w:rPr>
              <w:t xml:space="preserve"> de estoque limpo no </w:t>
            </w:r>
            <w:r>
              <w:rPr>
                <w:b w:val="0"/>
                <w:i/>
                <w:sz w:val="19"/>
              </w:rPr>
              <w:t>logout</w:t>
            </w:r>
          </w:p>
        </w:tc>
      </w:tr>
    </w:tbl>
    <w:p>
      <w:pPr>
        <w:pStyle w:val="Heading3"/>
      </w:pPr>
      <w:r>
        <w:rPr>
          <w:b w:val="0"/>
          <w:i w:val="0"/>
          <w:sz w:val="22"/>
        </w:rPr>
        <w:t>5.8.3 Privacidade desde a concepção</w:t>
      </w:r>
    </w:p>
    <w:p>
      <w:r>
        <w:rPr>
          <w:b w:val="0"/>
          <w:i w:val="0"/>
          <w:sz w:val="22"/>
        </w:rPr>
        <w:t xml:space="preserve">Nenhum serviço recebe dado pessoal de que não precise: catálogo, estoque, qualidade e analytics trabalham por identificador. Quem conhece cadastro é o </w:t>
      </w:r>
      <w:r>
        <w:rPr>
          <w:rFonts w:ascii="Consolas" w:hAnsi="Consolas"/>
          <w:b w:val="0"/>
          <w:i w:val="0"/>
          <w:color w:val="8B1A3A"/>
          <w:sz w:val="21"/>
        </w:rPr>
        <w:t>ms-clientes</w:t>
      </w:r>
      <w:r>
        <w:rPr>
          <w:b w:val="0"/>
          <w:i w:val="0"/>
          <w:sz w:val="22"/>
        </w:rPr>
        <w:t xml:space="preserve"> (e o Keycloak, para credencial). Isso reduz o alcance de qualquer incidente — vazamento em </w:t>
      </w:r>
      <w:r>
        <w:rPr>
          <w:rFonts w:ascii="Consolas" w:hAnsi="Consolas"/>
          <w:b w:val="0"/>
          <w:i w:val="0"/>
          <w:color w:val="8B1A3A"/>
          <w:sz w:val="21"/>
        </w:rPr>
        <w:t>ms-estoque</w:t>
      </w:r>
      <w:r>
        <w:rPr>
          <w:b w:val="0"/>
          <w:i w:val="0"/>
          <w:sz w:val="22"/>
        </w:rPr>
        <w:t xml:space="preserve"> não expõe cadastro.</w:t>
      </w:r>
    </w:p>
    <w:p>
      <w:pPr>
        <w:pStyle w:val="Heading2"/>
      </w:pPr>
      <w:r>
        <w:rPr>
          <w:b w:val="0"/>
          <w:i w:val="0"/>
          <w:sz w:val="22"/>
        </w:rPr>
        <w:t>5.9 Governança</w:t>
      </w:r>
    </w:p>
    <w:p>
      <w:pPr>
        <w:pStyle w:val="Heading3"/>
      </w:pPr>
      <w:r>
        <w:rPr>
          <w:b w:val="0"/>
          <w:i w:val="0"/>
          <w:sz w:val="22"/>
        </w:rPr>
        <w:t>5.9.1 Contrato como fonte da verdade</w:t>
      </w:r>
    </w:p>
    <w:p>
      <w:pPr>
        <w:pStyle w:val="ListBullet"/>
      </w:pPr>
      <w:r>
        <w:rPr>
          <w:b/>
          <w:i w:val="0"/>
          <w:sz w:val="22"/>
        </w:rPr>
        <w:t>OpenAPI 3.1</w:t>
      </w:r>
      <w:r>
        <w:rPr>
          <w:b w:val="0"/>
          <w:i w:val="0"/>
          <w:sz w:val="22"/>
        </w:rPr>
        <w:t xml:space="preserve"> por serviço (</w:t>
      </w:r>
      <w:r>
        <w:rPr>
          <w:rFonts w:ascii="Consolas" w:hAnsi="Consolas"/>
          <w:b w:val="0"/>
          <w:i w:val="0"/>
          <w:color w:val="8B1A3A"/>
          <w:sz w:val="21"/>
        </w:rPr>
        <w:t>ms-*/contracts/openapi.yaml</w:t>
      </w:r>
      <w:r>
        <w:rPr>
          <w:b w:val="0"/>
          <w:i w:val="0"/>
          <w:sz w:val="22"/>
        </w:rPr>
        <w:t xml:space="preserve">) e </w:t>
      </w:r>
      <w:r>
        <w:rPr>
          <w:b/>
          <w:i w:val="0"/>
          <w:sz w:val="22"/>
        </w:rPr>
        <w:t>AsyncAPI</w:t>
      </w:r>
      <w:r>
        <w:rPr>
          <w:b w:val="0"/>
          <w:i w:val="0"/>
          <w:sz w:val="22"/>
        </w:rPr>
        <w:t xml:space="preserve"> para os eventos (</w:t>
      </w:r>
      <w:r>
        <w:rPr>
          <w:rFonts w:ascii="Consolas" w:hAnsi="Consolas"/>
          <w:b w:val="0"/>
          <w:i w:val="0"/>
          <w:color w:val="8B1A3A"/>
          <w:sz w:val="21"/>
        </w:rPr>
        <w:t>contracts/asyncapi.yaml</w:t>
      </w:r>
      <w:r>
        <w:rPr>
          <w:b w:val="0"/>
          <w:i w:val="0"/>
          <w:sz w:val="22"/>
        </w:rPr>
        <w:t xml:space="preserve">), versionados </w:t>
      </w:r>
      <w:r>
        <w:rPr>
          <w:b/>
          <w:i w:val="0"/>
          <w:sz w:val="22"/>
        </w:rPr>
        <w:t>no repositório</w:t>
      </w:r>
      <w:r>
        <w:rPr>
          <w:b w:val="0"/>
          <w:i w:val="0"/>
          <w:sz w:val="22"/>
        </w:rPr>
        <w:t xml:space="preserve"> — não gerados só em tempo de execução.</w:t>
      </w:r>
    </w:p>
    <w:p>
      <w:pPr>
        <w:pStyle w:val="ListBullet"/>
      </w:pPr>
      <w:r>
        <w:rPr>
          <w:b/>
          <w:i w:val="0"/>
          <w:sz w:val="22"/>
        </w:rPr>
        <w:t>CI valida contrato</w:t>
      </w:r>
      <w:r>
        <w:rPr>
          <w:b w:val="0"/>
          <w:i w:val="0"/>
          <w:sz w:val="22"/>
        </w:rPr>
        <w:t xml:space="preserve">: </w:t>
      </w:r>
      <w:r>
        <w:rPr>
          <w:b w:val="0"/>
          <w:i/>
          <w:sz w:val="22"/>
        </w:rPr>
        <w:t>lint</w:t>
      </w:r>
      <w:r>
        <w:rPr>
          <w:b w:val="0"/>
          <w:i w:val="0"/>
          <w:sz w:val="22"/>
        </w:rPr>
        <w:t xml:space="preserve"> (Spectral), quebra de compatibilidade detectada por </w:t>
      </w:r>
      <w:r>
        <w:rPr>
          <w:b w:val="0"/>
          <w:i/>
          <w:sz w:val="22"/>
        </w:rPr>
        <w:t>diff</w:t>
      </w:r>
      <w:r>
        <w:rPr>
          <w:b w:val="0"/>
          <w:i w:val="0"/>
          <w:sz w:val="22"/>
        </w:rPr>
        <w:t xml:space="preserve"> e </w:t>
      </w:r>
      <w:r>
        <w:rPr>
          <w:b/>
          <w:i w:val="0"/>
          <w:sz w:val="22"/>
        </w:rPr>
        <w:t>build que falha</w:t>
      </w:r>
      <w:r>
        <w:rPr>
          <w:b w:val="0"/>
          <w:i w:val="0"/>
          <w:sz w:val="22"/>
        </w:rPr>
        <w:t xml:space="preserve"> quando um campo obrigatório é removido, um tipo muda ou um </w:t>
      </w:r>
      <w:r>
        <w:rPr>
          <w:b w:val="0"/>
          <w:i/>
          <w:sz w:val="22"/>
        </w:rPr>
        <w:t>enum</w:t>
      </w:r>
      <w:r>
        <w:rPr>
          <w:b w:val="0"/>
          <w:i w:val="0"/>
          <w:sz w:val="22"/>
        </w:rPr>
        <w:t xml:space="preserve"> perde valor. Contrato quebrado não chega ao </w:t>
      </w:r>
      <w:r>
        <w:rPr>
          <w:rFonts w:ascii="Consolas" w:hAnsi="Consolas"/>
          <w:b w:val="0"/>
          <w:i w:val="0"/>
          <w:color w:val="8B1A3A"/>
          <w:sz w:val="21"/>
        </w:rPr>
        <w:t>main</w:t>
      </w:r>
      <w:r>
        <w:rPr>
          <w:b w:val="0"/>
          <w:i w:val="0"/>
          <w:sz w:val="22"/>
        </w:rPr>
        <w:t>.</w:t>
      </w:r>
    </w:p>
    <w:p>
      <w:pPr>
        <w:pStyle w:val="ListBullet"/>
      </w:pPr>
      <w:r>
        <w:rPr>
          <w:b w:val="0"/>
          <w:i w:val="0"/>
          <w:sz w:val="22"/>
        </w:rPr>
        <w:t>Serviços mockados a partir do contrato desde o primeiro dia (permite Roger/Arthur escreverem contra contrato antes do serviço existir).</w:t>
      </w:r>
    </w:p>
    <w:p>
      <w:pPr>
        <w:pStyle w:val="ListBullet"/>
      </w:pPr>
      <w:r>
        <w:rPr>
          <w:b w:val="0"/>
          <w:i w:val="0"/>
          <w:sz w:val="22"/>
        </w:rPr>
        <w:t xml:space="preserve">Swagger desligado em produção (hoje só existe em </w:t>
      </w:r>
      <w:r>
        <w:rPr>
          <w:rFonts w:ascii="Consolas" w:hAnsi="Consolas"/>
          <w:b w:val="0"/>
          <w:i w:val="0"/>
          <w:color w:val="8B1A3A"/>
          <w:sz w:val="21"/>
        </w:rPr>
        <w:t>Development</w:t>
      </w:r>
      <w:r>
        <w:rPr>
          <w:b w:val="0"/>
          <w:i w:val="0"/>
          <w:sz w:val="22"/>
        </w:rPr>
        <w:t>, o que já é o comportamento correto — a diferença é o contrato deixar de ser só de desenvolvimento e passar a ser artefato versionado).</w:t>
      </w:r>
    </w:p>
    <w:p>
      <w:pPr>
        <w:pStyle w:val="Heading3"/>
      </w:pPr>
      <w:r>
        <w:rPr>
          <w:b w:val="0"/>
          <w:i w:val="0"/>
          <w:sz w:val="22"/>
        </w:rPr>
        <w:t>5.9.2 Versionamento e depreciação</w:t>
      </w:r>
    </w:p>
    <w:p>
      <w:pPr>
        <w:pStyle w:val="ListBullet"/>
      </w:pPr>
      <w:r>
        <w:rPr>
          <w:b w:val="0"/>
          <w:i w:val="0"/>
          <w:sz w:val="22"/>
        </w:rPr>
        <w:t>Versão no caminho (</w:t>
      </w:r>
      <w:r>
        <w:rPr>
          <w:rFonts w:ascii="Consolas" w:hAnsi="Consolas"/>
          <w:b w:val="0"/>
          <w:i w:val="0"/>
          <w:color w:val="8B1A3A"/>
          <w:sz w:val="21"/>
        </w:rPr>
        <w:t>/v1/...</w:t>
      </w:r>
      <w:r>
        <w:rPr>
          <w:b w:val="0"/>
          <w:i w:val="0"/>
          <w:sz w:val="22"/>
        </w:rPr>
        <w:t>), nunca no corpo ou em cabeçalho.</w:t>
      </w:r>
    </w:p>
    <w:p>
      <w:pPr>
        <w:pStyle w:val="ListBullet"/>
      </w:pPr>
      <w:r>
        <w:rPr>
          <w:b w:val="0"/>
          <w:i w:val="0"/>
          <w:sz w:val="22"/>
        </w:rPr>
        <w:t xml:space="preserve">Compatibilidade: adição de campo é compatível; remoção/renome/estreitamento de tipo </w:t>
      </w:r>
      <w:r>
        <w:rPr>
          <w:b/>
          <w:i w:val="0"/>
          <w:sz w:val="22"/>
        </w:rPr>
        <w:t>não é</w:t>
      </w:r>
      <w:r>
        <w:rPr>
          <w:b w:val="0"/>
          <w:i w:val="0"/>
          <w:sz w:val="22"/>
        </w:rPr>
        <w:t xml:space="preserve"> — exige nova versão.</w:t>
      </w:r>
    </w:p>
    <w:p>
      <w:pPr>
        <w:pStyle w:val="ListBullet"/>
      </w:pPr>
      <w:r>
        <w:rPr>
          <w:b w:val="0"/>
          <w:i w:val="0"/>
          <w:sz w:val="22"/>
        </w:rPr>
        <w:t xml:space="preserve">Depreciação formal: anúncio, cabeçalho </w:t>
      </w:r>
      <w:r>
        <w:rPr>
          <w:rFonts w:ascii="Consolas" w:hAnsi="Consolas"/>
          <w:b w:val="0"/>
          <w:i w:val="0"/>
          <w:color w:val="8B1A3A"/>
          <w:sz w:val="21"/>
        </w:rPr>
        <w:t>Deprecation</w:t>
      </w:r>
      <w:r>
        <w:rPr>
          <w:b w:val="0"/>
          <w:i w:val="0"/>
          <w:sz w:val="22"/>
        </w:rPr>
        <w:t>/</w:t>
      </w:r>
      <w:r>
        <w:rPr>
          <w:rFonts w:ascii="Consolas" w:hAnsi="Consolas"/>
          <w:b w:val="0"/>
          <w:i w:val="0"/>
          <w:color w:val="8B1A3A"/>
          <w:sz w:val="21"/>
        </w:rPr>
        <w:t>Sunset</w:t>
      </w:r>
      <w:r>
        <w:rPr>
          <w:b w:val="0"/>
          <w:i w:val="0"/>
          <w:sz w:val="22"/>
        </w:rPr>
        <w:t xml:space="preserve">, </w:t>
      </w:r>
      <w:r>
        <w:rPr>
          <w:b/>
          <w:i w:val="0"/>
          <w:sz w:val="22"/>
        </w:rPr>
        <w:t>90 dias</w:t>
      </w:r>
      <w:r>
        <w:rPr>
          <w:b w:val="0"/>
          <w:i w:val="0"/>
          <w:sz w:val="22"/>
        </w:rPr>
        <w:t xml:space="preserve"> de convivência, telemetria de uso da versão antiga antes de desligar. Nenhuma versão é desligada sem uso residual igual a zero.</w:t>
      </w:r>
    </w:p>
    <w:p>
      <w:pPr>
        <w:pStyle w:val="ListBullet"/>
      </w:pPr>
      <w:r>
        <w:rPr>
          <w:b w:val="0"/>
          <w:i w:val="0"/>
          <w:sz w:val="22"/>
        </w:rPr>
        <w:t>Eventos: evolução de esquema (</w:t>
      </w:r>
      <w:r>
        <w:rPr>
          <w:b w:val="0"/>
          <w:i/>
          <w:sz w:val="22"/>
        </w:rPr>
        <w:t>schema registry</w:t>
      </w:r>
      <w:r>
        <w:rPr>
          <w:b w:val="0"/>
          <w:i w:val="0"/>
          <w:sz w:val="22"/>
        </w:rPr>
        <w:t>) permite adicionar campo opcional; mudança incompatível cria novo tópico com sufixo de versão.</w:t>
      </w:r>
    </w:p>
    <w:p>
      <w:pPr>
        <w:pStyle w:val="Heading3"/>
      </w:pPr>
      <w:r>
        <w:rPr>
          <w:b w:val="0"/>
          <w:i w:val="0"/>
          <w:sz w:val="22"/>
        </w:rPr>
        <w:t>5.9.3 Catálogo de serviços e papéis de nome</w:t>
      </w:r>
    </w:p>
    <w:p>
      <w:pPr>
        <w:keepNext/>
        <w:spacing w:after="60" w:before="0"/>
        <w:jc w:val="left"/>
      </w:pPr>
      <w:r>
        <w:rPr>
          <w:b w:val="0"/>
          <w:i/>
          <w:color w:val="595959"/>
          <w:sz w:val="19"/>
        </w:rPr>
        <w:t>Tabela 25 — Convenções de nome para serviços, tópicos, rotas, bancos e filas mortas</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1474"/>
            <w:shd w:val="clear" w:fill="F4E7EB"/>
          </w:tcPr>
          <w:p>
            <w:pPr>
              <w:spacing w:after="0"/>
              <w:jc w:val="left"/>
            </w:pPr>
            <w:r>
              <w:rPr>
                <w:b/>
              </w:rPr>
            </w:r>
            <w:r>
              <w:rPr>
                <w:b/>
                <w:i w:val="0"/>
                <w:sz w:val="19"/>
              </w:rPr>
              <w:t>Convenção</w:t>
            </w:r>
          </w:p>
        </w:tc>
        <w:tc>
          <w:tcPr>
            <w:tcW w:type="dxa" w:w="5102"/>
            <w:shd w:val="clear" w:fill="F4E7EB"/>
          </w:tcPr>
          <w:p>
            <w:pPr>
              <w:spacing w:after="0"/>
              <w:jc w:val="left"/>
            </w:pPr>
            <w:r>
              <w:rPr>
                <w:b/>
              </w:rPr>
            </w:r>
            <w:r>
              <w:rPr>
                <w:b/>
                <w:i w:val="0"/>
                <w:sz w:val="19"/>
              </w:rPr>
              <w:t>Regra</w:t>
            </w:r>
          </w:p>
        </w:tc>
        <w:tc>
          <w:tcPr>
            <w:tcW w:type="dxa" w:w="3061"/>
            <w:shd w:val="clear" w:fill="F4E7EB"/>
          </w:tcPr>
          <w:p>
            <w:pPr>
              <w:spacing w:after="0"/>
              <w:jc w:val="left"/>
            </w:pPr>
            <w:r>
              <w:rPr>
                <w:b/>
              </w:rPr>
            </w:r>
            <w:r>
              <w:rPr>
                <w:b/>
                <w:i w:val="0"/>
                <w:sz w:val="19"/>
              </w:rPr>
              <w:t>Exemplo</w:t>
            </w:r>
          </w:p>
        </w:tc>
      </w:tr>
      <w:tr>
        <w:tc>
          <w:tcPr>
            <w:tcW w:type="dxa" w:w="1474"/>
          </w:tcPr>
          <w:p>
            <w:pPr>
              <w:spacing w:after="0" w:line="240" w:lineRule="auto"/>
              <w:jc w:val="left"/>
            </w:pPr>
            <w:r/>
            <w:r>
              <w:rPr>
                <w:b w:val="0"/>
                <w:i w:val="0"/>
                <w:sz w:val="19"/>
              </w:rPr>
              <w:t>Serviço</w:t>
            </w:r>
          </w:p>
        </w:tc>
        <w:tc>
          <w:tcPr>
            <w:tcW w:type="dxa" w:w="5102"/>
          </w:tcPr>
          <w:p>
            <w:pPr>
              <w:spacing w:after="0" w:line="240" w:lineRule="auto"/>
              <w:jc w:val="left"/>
            </w:pPr>
            <w:r/>
            <w:r>
              <w:rPr>
                <w:rFonts w:ascii="Consolas" w:hAnsi="Consolas"/>
                <w:b w:val="0"/>
                <w:i w:val="0"/>
                <w:color w:val="8B1A3A"/>
                <w:sz w:val="18"/>
              </w:rPr>
              <w:t>ms-</w:t>
            </w:r>
            <w:r>
              <w:rPr>
                <w:b w:val="0"/>
                <w:i w:val="0"/>
                <w:sz w:val="19"/>
              </w:rPr>
              <w:t xml:space="preserve"> + domínio, minúsculo, </w:t>
            </w:r>
            <w:r>
              <w:rPr>
                <w:b w:val="0"/>
                <w:i/>
                <w:sz w:val="19"/>
              </w:rPr>
              <w:t>kebab-case</w:t>
            </w:r>
          </w:p>
        </w:tc>
        <w:tc>
          <w:tcPr>
            <w:tcW w:type="dxa" w:w="3061"/>
          </w:tcPr>
          <w:p>
            <w:pPr>
              <w:spacing w:after="0" w:line="240" w:lineRule="auto"/>
              <w:jc w:val="left"/>
            </w:pPr>
            <w:r/>
            <w:r>
              <w:rPr>
                <w:rFonts w:ascii="Consolas" w:hAnsi="Consolas"/>
                <w:b w:val="0"/>
                <w:i w:val="0"/>
                <w:color w:val="8B1A3A"/>
                <w:sz w:val="18"/>
              </w:rPr>
              <w:t>ms-qualidade</w:t>
            </w:r>
            <w:r>
              <w:rPr>
                <w:b w:val="0"/>
                <w:i w:val="0"/>
                <w:sz w:val="19"/>
              </w:rPr>
              <w:t xml:space="preserve">, </w:t>
            </w:r>
            <w:r>
              <w:rPr>
                <w:rFonts w:ascii="Consolas" w:hAnsi="Consolas"/>
                <w:b w:val="0"/>
                <w:i w:val="0"/>
                <w:color w:val="8B1A3A"/>
                <w:sz w:val="18"/>
              </w:rPr>
              <w:t>ms-pagamentos</w:t>
            </w:r>
          </w:p>
        </w:tc>
      </w:tr>
      <w:tr>
        <w:tc>
          <w:tcPr>
            <w:tcW w:type="dxa" w:w="1474"/>
          </w:tcPr>
          <w:p>
            <w:pPr>
              <w:spacing w:after="0" w:line="240" w:lineRule="auto"/>
              <w:jc w:val="left"/>
            </w:pPr>
            <w:r/>
            <w:r>
              <w:rPr>
                <w:b w:val="0"/>
                <w:i w:val="0"/>
                <w:sz w:val="19"/>
              </w:rPr>
              <w:t>Tópico de evento</w:t>
            </w:r>
          </w:p>
        </w:tc>
        <w:tc>
          <w:tcPr>
            <w:tcW w:type="dxa" w:w="5102"/>
          </w:tcPr>
          <w:p>
            <w:pPr>
              <w:spacing w:after="0" w:line="240" w:lineRule="auto"/>
              <w:jc w:val="left"/>
            </w:pPr>
            <w:r/>
            <w:r>
              <w:rPr>
                <w:rFonts w:ascii="Consolas" w:hAnsi="Consolas"/>
                <w:b w:val="0"/>
                <w:i w:val="0"/>
                <w:color w:val="8B1A3A"/>
                <w:sz w:val="18"/>
              </w:rPr>
              <w:t>dominio.evento</w:t>
            </w:r>
            <w:r>
              <w:rPr>
                <w:b w:val="0"/>
                <w:i w:val="0"/>
                <w:sz w:val="19"/>
              </w:rPr>
              <w:t>, minúsculo, sem prefixo de turma</w:t>
            </w:r>
          </w:p>
        </w:tc>
        <w:tc>
          <w:tcPr>
            <w:tcW w:type="dxa" w:w="3061"/>
          </w:tcPr>
          <w:p>
            <w:pPr>
              <w:spacing w:after="0" w:line="240" w:lineRule="auto"/>
              <w:jc w:val="left"/>
            </w:pPr>
            <w:r/>
            <w:r>
              <w:rPr>
                <w:rFonts w:ascii="Consolas" w:hAnsi="Consolas"/>
                <w:b w:val="0"/>
                <w:i w:val="0"/>
                <w:color w:val="8B1A3A"/>
                <w:sz w:val="18"/>
              </w:rPr>
              <w:t>pedido.criado</w:t>
            </w:r>
            <w:r>
              <w:rPr>
                <w:b w:val="0"/>
                <w:i w:val="0"/>
                <w:sz w:val="19"/>
              </w:rPr>
              <w:t xml:space="preserve">, </w:t>
            </w:r>
            <w:r>
              <w:rPr>
                <w:rFonts w:ascii="Consolas" w:hAnsi="Consolas"/>
                <w:b w:val="0"/>
                <w:i w:val="0"/>
                <w:color w:val="8B1A3A"/>
                <w:sz w:val="18"/>
              </w:rPr>
              <w:t>estoque.reservado</w:t>
            </w:r>
            <w:r>
              <w:rPr>
                <w:b w:val="0"/>
                <w:i w:val="0"/>
                <w:sz w:val="19"/>
              </w:rPr>
              <w:t xml:space="preserve">, </w:t>
            </w:r>
            <w:r>
              <w:rPr>
                <w:rFonts w:ascii="Consolas" w:hAnsi="Consolas"/>
                <w:b w:val="0"/>
                <w:i w:val="0"/>
                <w:color w:val="8B1A3A"/>
                <w:sz w:val="18"/>
              </w:rPr>
              <w:t>qualidade.alerta</w:t>
            </w:r>
          </w:p>
        </w:tc>
      </w:tr>
      <w:tr>
        <w:tc>
          <w:tcPr>
            <w:tcW w:type="dxa" w:w="1474"/>
          </w:tcPr>
          <w:p>
            <w:pPr>
              <w:spacing w:after="0" w:line="240" w:lineRule="auto"/>
              <w:jc w:val="left"/>
            </w:pPr>
            <w:r/>
            <w:r>
              <w:rPr>
                <w:b w:val="0"/>
                <w:i w:val="0"/>
                <w:sz w:val="19"/>
              </w:rPr>
              <w:t>Chamada REST</w:t>
            </w:r>
          </w:p>
        </w:tc>
        <w:tc>
          <w:tcPr>
            <w:tcW w:type="dxa" w:w="5102"/>
          </w:tcPr>
          <w:p>
            <w:pPr>
              <w:spacing w:after="0" w:line="240" w:lineRule="auto"/>
              <w:jc w:val="left"/>
            </w:pPr>
            <w:r/>
            <w:r>
              <w:rPr>
                <w:rFonts w:ascii="Consolas" w:hAnsi="Consolas"/>
                <w:b w:val="0"/>
                <w:i w:val="0"/>
                <w:color w:val="8B1A3A"/>
                <w:sz w:val="18"/>
              </w:rPr>
              <w:t>/v1/recurso</w:t>
            </w:r>
            <w:r>
              <w:rPr>
                <w:b w:val="0"/>
                <w:i w:val="0"/>
                <w:sz w:val="19"/>
              </w:rPr>
              <w:t>, substantivo no plural, sem verbo na URL</w:t>
            </w:r>
          </w:p>
        </w:tc>
        <w:tc>
          <w:tcPr>
            <w:tcW w:type="dxa" w:w="3061"/>
          </w:tcPr>
          <w:p>
            <w:pPr>
              <w:spacing w:after="0" w:line="240" w:lineRule="auto"/>
              <w:jc w:val="left"/>
            </w:pPr>
            <w:r/>
            <w:r>
              <w:rPr>
                <w:rFonts w:ascii="Consolas" w:hAnsi="Consolas"/>
                <w:b w:val="0"/>
                <w:i w:val="0"/>
                <w:color w:val="8B1A3A"/>
                <w:sz w:val="18"/>
              </w:rPr>
              <w:t>GET /v1/vinhos</w:t>
            </w:r>
            <w:r>
              <w:rPr>
                <w:b w:val="0"/>
                <w:i w:val="0"/>
                <w:sz w:val="19"/>
              </w:rPr>
              <w:t xml:space="preserve">, </w:t>
            </w:r>
            <w:r>
              <w:rPr>
                <w:rFonts w:ascii="Consolas" w:hAnsi="Consolas"/>
                <w:b w:val="0"/>
                <w:i w:val="0"/>
                <w:color w:val="8B1A3A"/>
                <w:sz w:val="18"/>
              </w:rPr>
              <w:t>POST /v1/pedidos</w:t>
            </w:r>
            <w:r>
              <w:rPr>
                <w:b w:val="0"/>
                <w:i w:val="0"/>
                <w:sz w:val="19"/>
              </w:rPr>
              <w:t xml:space="preserve"> (e não </w:t>
            </w:r>
            <w:r>
              <w:rPr>
                <w:rFonts w:ascii="Consolas" w:hAnsi="Consolas"/>
                <w:b w:val="0"/>
                <w:i w:val="0"/>
                <w:color w:val="8B1A3A"/>
                <w:sz w:val="18"/>
              </w:rPr>
              <w:t>/v1/listarVinhos</w:t>
            </w:r>
            <w:r>
              <w:rPr>
                <w:b w:val="0"/>
                <w:i w:val="0"/>
                <w:sz w:val="19"/>
              </w:rPr>
              <w:t xml:space="preserve">, </w:t>
            </w:r>
            <w:r>
              <w:rPr>
                <w:rFonts w:ascii="Consolas" w:hAnsi="Consolas"/>
                <w:b w:val="0"/>
                <w:i w:val="0"/>
                <w:color w:val="8B1A3A"/>
                <w:sz w:val="18"/>
              </w:rPr>
              <w:t>/v1/v1/...</w:t>
            </w:r>
            <w:r>
              <w:rPr>
                <w:b w:val="0"/>
                <w:i w:val="0"/>
                <w:sz w:val="19"/>
              </w:rPr>
              <w:t>)</w:t>
            </w:r>
          </w:p>
        </w:tc>
      </w:tr>
      <w:tr>
        <w:tc>
          <w:tcPr>
            <w:tcW w:type="dxa" w:w="1474"/>
          </w:tcPr>
          <w:p>
            <w:pPr>
              <w:spacing w:after="0" w:line="240" w:lineRule="auto"/>
              <w:jc w:val="left"/>
            </w:pPr>
            <w:r/>
            <w:r>
              <w:rPr>
                <w:b w:val="0"/>
                <w:i w:val="0"/>
                <w:sz w:val="19"/>
              </w:rPr>
              <w:t>Banco/esquema</w:t>
            </w:r>
          </w:p>
        </w:tc>
        <w:tc>
          <w:tcPr>
            <w:tcW w:type="dxa" w:w="5102"/>
          </w:tcPr>
          <w:p>
            <w:pPr>
              <w:spacing w:after="0" w:line="240" w:lineRule="auto"/>
              <w:jc w:val="left"/>
            </w:pPr>
            <w:r/>
            <w:r>
              <w:rPr>
                <w:rFonts w:ascii="Consolas" w:hAnsi="Consolas"/>
                <w:b w:val="0"/>
                <w:i w:val="0"/>
                <w:color w:val="8B1A3A"/>
                <w:sz w:val="18"/>
              </w:rPr>
              <w:t>db_&lt;serviço&gt;</w:t>
            </w:r>
          </w:p>
        </w:tc>
        <w:tc>
          <w:tcPr>
            <w:tcW w:type="dxa" w:w="3061"/>
          </w:tcPr>
          <w:p>
            <w:pPr>
              <w:spacing w:after="0" w:line="240" w:lineRule="auto"/>
              <w:jc w:val="left"/>
            </w:pPr>
            <w:r/>
            <w:r>
              <w:rPr>
                <w:rFonts w:ascii="Consolas" w:hAnsi="Consolas"/>
                <w:b w:val="0"/>
                <w:i w:val="0"/>
                <w:color w:val="8B1A3A"/>
                <w:sz w:val="18"/>
              </w:rPr>
              <w:t>db_estoque</w:t>
            </w:r>
          </w:p>
        </w:tc>
      </w:tr>
      <w:tr>
        <w:tc>
          <w:tcPr>
            <w:tcW w:type="dxa" w:w="1474"/>
          </w:tcPr>
          <w:p>
            <w:pPr>
              <w:spacing w:after="0" w:line="240" w:lineRule="auto"/>
              <w:jc w:val="left"/>
            </w:pPr>
            <w:r/>
            <w:r>
              <w:rPr>
                <w:b w:val="0"/>
                <w:i w:val="0"/>
                <w:sz w:val="19"/>
              </w:rPr>
              <w:t>Fila morta</w:t>
            </w:r>
          </w:p>
        </w:tc>
        <w:tc>
          <w:tcPr>
            <w:tcW w:type="dxa" w:w="5102"/>
          </w:tcPr>
          <w:p>
            <w:pPr>
              <w:spacing w:after="0" w:line="240" w:lineRule="auto"/>
              <w:jc w:val="left"/>
            </w:pPr>
            <w:r/>
            <w:r>
              <w:rPr>
                <w:rFonts w:ascii="Consolas" w:hAnsi="Consolas"/>
                <w:b w:val="0"/>
                <w:i w:val="0"/>
                <w:color w:val="8B1A3A"/>
                <w:sz w:val="18"/>
              </w:rPr>
              <w:t>&lt;topico&gt;.DLQ</w:t>
            </w:r>
          </w:p>
        </w:tc>
        <w:tc>
          <w:tcPr>
            <w:tcW w:type="dxa" w:w="3061"/>
          </w:tcPr>
          <w:p>
            <w:pPr>
              <w:spacing w:after="0" w:line="240" w:lineRule="auto"/>
              <w:jc w:val="left"/>
            </w:pPr>
            <w:r/>
            <w:r>
              <w:rPr>
                <w:rFonts w:ascii="Consolas" w:hAnsi="Consolas"/>
                <w:b w:val="0"/>
                <w:i w:val="0"/>
                <w:color w:val="8B1A3A"/>
                <w:sz w:val="18"/>
              </w:rPr>
              <w:t>pedido.criado.DLQ</w:t>
            </w:r>
          </w:p>
        </w:tc>
      </w:tr>
    </w:tbl>
    <w:p>
      <w:r>
        <w:rPr>
          <w:b w:val="0"/>
          <w:i w:val="0"/>
          <w:sz w:val="22"/>
        </w:rPr>
        <w:t xml:space="preserve">Catálogo com </w:t>
      </w:r>
      <w:r>
        <w:rPr>
          <w:b/>
          <w:i w:val="0"/>
          <w:sz w:val="22"/>
        </w:rPr>
        <w:t>dono</w:t>
      </w:r>
      <w:r>
        <w:rPr>
          <w:b w:val="0"/>
          <w:i w:val="0"/>
          <w:sz w:val="22"/>
        </w:rPr>
        <w:t xml:space="preserve"> por serviço (evita "serviço órfão" que ninguém mantém nem conhece):</w:t>
      </w:r>
    </w:p>
    <w:p>
      <w:pPr>
        <w:keepNext/>
        <w:spacing w:after="60" w:before="0"/>
        <w:jc w:val="left"/>
      </w:pPr>
      <w:r>
        <w:rPr>
          <w:b w:val="0"/>
          <w:i/>
          <w:color w:val="595959"/>
          <w:sz w:val="19"/>
        </w:rPr>
        <w:t>Tabela 26 — Catálogo de serviços com dono funcional e responsável técnico no grupo</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1928"/>
            <w:shd w:val="clear" w:fill="F4E7EB"/>
          </w:tcPr>
          <w:p>
            <w:pPr>
              <w:spacing w:after="0"/>
              <w:jc w:val="left"/>
            </w:pPr>
            <w:r>
              <w:rPr>
                <w:b/>
              </w:rPr>
            </w:r>
            <w:r>
              <w:rPr>
                <w:b/>
                <w:i w:val="0"/>
                <w:sz w:val="19"/>
              </w:rPr>
              <w:t>Serviço</w:t>
            </w:r>
          </w:p>
        </w:tc>
        <w:tc>
          <w:tcPr>
            <w:tcW w:type="dxa" w:w="3402"/>
            <w:shd w:val="clear" w:fill="F4E7EB"/>
          </w:tcPr>
          <w:p>
            <w:pPr>
              <w:spacing w:after="0"/>
              <w:jc w:val="left"/>
            </w:pPr>
            <w:r>
              <w:rPr>
                <w:b/>
              </w:rPr>
            </w:r>
            <w:r>
              <w:rPr>
                <w:b/>
                <w:i w:val="0"/>
                <w:sz w:val="19"/>
              </w:rPr>
              <w:t>Dono (papel funcional)</w:t>
            </w:r>
          </w:p>
        </w:tc>
        <w:tc>
          <w:tcPr>
            <w:tcW w:type="dxa" w:w="4309"/>
            <w:shd w:val="clear" w:fill="F4E7EB"/>
          </w:tcPr>
          <w:p>
            <w:pPr>
              <w:spacing w:after="0"/>
              <w:jc w:val="left"/>
            </w:pPr>
            <w:r>
              <w:rPr>
                <w:b/>
              </w:rPr>
            </w:r>
            <w:r>
              <w:rPr>
                <w:b/>
                <w:i w:val="0"/>
                <w:sz w:val="19"/>
              </w:rPr>
              <w:t>Responsável técnico no grupo</w:t>
            </w:r>
          </w:p>
        </w:tc>
      </w:tr>
      <w:tr>
        <w:tc>
          <w:tcPr>
            <w:tcW w:type="dxa" w:w="1928"/>
          </w:tcPr>
          <w:p>
            <w:pPr>
              <w:spacing w:after="0" w:line="240" w:lineRule="auto"/>
              <w:jc w:val="left"/>
            </w:pPr>
            <w:r/>
            <w:r>
              <w:rPr>
                <w:b w:val="0"/>
                <w:i w:val="0"/>
                <w:sz w:val="19"/>
              </w:rPr>
              <w:t xml:space="preserve">API Gateway, </w:t>
            </w:r>
            <w:r>
              <w:rPr>
                <w:rFonts w:ascii="Consolas" w:hAnsi="Consolas"/>
                <w:b w:val="0"/>
                <w:i w:val="0"/>
                <w:color w:val="8B1A3A"/>
                <w:sz w:val="18"/>
              </w:rPr>
              <w:t>ms-identidade</w:t>
            </w:r>
          </w:p>
        </w:tc>
        <w:tc>
          <w:tcPr>
            <w:tcW w:type="dxa" w:w="3402"/>
          </w:tcPr>
          <w:p>
            <w:pPr>
              <w:spacing w:after="0" w:line="240" w:lineRule="auto"/>
              <w:jc w:val="left"/>
            </w:pPr>
            <w:r/>
            <w:r>
              <w:rPr>
                <w:b w:val="0"/>
                <w:i w:val="0"/>
                <w:sz w:val="19"/>
              </w:rPr>
              <w:t>Arquitetura</w:t>
            </w:r>
          </w:p>
        </w:tc>
        <w:tc>
          <w:tcPr>
            <w:tcW w:type="dxa" w:w="4309"/>
          </w:tcPr>
          <w:p>
            <w:pPr>
              <w:spacing w:after="0" w:line="240" w:lineRule="auto"/>
              <w:jc w:val="left"/>
            </w:pPr>
            <w:r/>
            <w:r>
              <w:rPr>
                <w:b w:val="0"/>
                <w:i w:val="0"/>
                <w:sz w:val="19"/>
              </w:rPr>
              <w:t>Roger (seção 1) com revisão da Yasmin (seção 5)</w:t>
            </w:r>
          </w:p>
        </w:tc>
      </w:tr>
      <w:tr>
        <w:tc>
          <w:tcPr>
            <w:tcW w:type="dxa" w:w="1928"/>
          </w:tcPr>
          <w:p>
            <w:pPr>
              <w:spacing w:after="0" w:line="240" w:lineRule="auto"/>
              <w:jc w:val="left"/>
            </w:pPr>
            <w:r/>
            <w:r>
              <w:rPr>
                <w:rFonts w:ascii="Consolas" w:hAnsi="Consolas"/>
                <w:b w:val="0"/>
                <w:i w:val="0"/>
                <w:color w:val="8B1A3A"/>
                <w:sz w:val="18"/>
              </w:rPr>
              <w:t>ms-catalogo</w:t>
            </w:r>
            <w:r>
              <w:rPr>
                <w:b w:val="0"/>
                <w:i w:val="0"/>
                <w:sz w:val="19"/>
              </w:rPr>
              <w:t xml:space="preserve">, </w:t>
            </w:r>
            <w:r>
              <w:rPr>
                <w:rFonts w:ascii="Consolas" w:hAnsi="Consolas"/>
                <w:b w:val="0"/>
                <w:i w:val="0"/>
                <w:color w:val="8B1A3A"/>
                <w:sz w:val="18"/>
              </w:rPr>
              <w:t>ms-producao</w:t>
            </w:r>
            <w:r>
              <w:rPr>
                <w:b w:val="0"/>
                <w:i w:val="0"/>
                <w:sz w:val="19"/>
              </w:rPr>
              <w:t xml:space="preserve">, </w:t>
            </w:r>
            <w:r>
              <w:rPr>
                <w:rFonts w:ascii="Consolas" w:hAnsi="Consolas"/>
                <w:b w:val="0"/>
                <w:i w:val="0"/>
                <w:color w:val="8B1A3A"/>
                <w:sz w:val="18"/>
              </w:rPr>
              <w:t>ms-lotes</w:t>
            </w:r>
            <w:r>
              <w:rPr>
                <w:b w:val="0"/>
                <w:i w:val="0"/>
                <w:sz w:val="19"/>
              </w:rPr>
              <w:t xml:space="preserve">, </w:t>
            </w:r>
            <w:r>
              <w:rPr>
                <w:rFonts w:ascii="Consolas" w:hAnsi="Consolas"/>
                <w:b w:val="0"/>
                <w:i w:val="0"/>
                <w:color w:val="8B1A3A"/>
                <w:sz w:val="18"/>
              </w:rPr>
              <w:t>ms-estoque</w:t>
            </w:r>
            <w:r>
              <w:rPr>
                <w:b w:val="0"/>
                <w:i w:val="0"/>
                <w:sz w:val="19"/>
              </w:rPr>
              <w:t xml:space="preserve">, </w:t>
            </w:r>
            <w:r>
              <w:rPr>
                <w:rFonts w:ascii="Consolas" w:hAnsi="Consolas"/>
                <w:b w:val="0"/>
                <w:i w:val="0"/>
                <w:color w:val="8B1A3A"/>
                <w:sz w:val="18"/>
              </w:rPr>
              <w:t>ms-fornecedores</w:t>
            </w:r>
          </w:p>
        </w:tc>
        <w:tc>
          <w:tcPr>
            <w:tcW w:type="dxa" w:w="3402"/>
          </w:tcPr>
          <w:p>
            <w:pPr>
              <w:spacing w:after="0" w:line="240" w:lineRule="auto"/>
              <w:jc w:val="left"/>
            </w:pPr>
            <w:r/>
            <w:r>
              <w:rPr>
                <w:b w:val="0"/>
                <w:i w:val="0"/>
                <w:sz w:val="19"/>
              </w:rPr>
              <w:t>Operação da vinheria</w:t>
            </w:r>
          </w:p>
        </w:tc>
        <w:tc>
          <w:tcPr>
            <w:tcW w:type="dxa" w:w="4309"/>
          </w:tcPr>
          <w:p>
            <w:pPr>
              <w:spacing w:after="0" w:line="240" w:lineRule="auto"/>
              <w:jc w:val="left"/>
            </w:pPr>
            <w:r/>
            <w:r>
              <w:rPr>
                <w:b w:val="0"/>
                <w:i w:val="0"/>
                <w:sz w:val="19"/>
              </w:rPr>
              <w:t>A definir na seção 1 (lista congelada em 21/09)</w:t>
            </w:r>
          </w:p>
        </w:tc>
      </w:tr>
      <w:tr>
        <w:tc>
          <w:tcPr>
            <w:tcW w:type="dxa" w:w="1928"/>
          </w:tcPr>
          <w:p>
            <w:pPr>
              <w:spacing w:after="0" w:line="240" w:lineRule="auto"/>
              <w:jc w:val="left"/>
            </w:pPr>
            <w:r/>
            <w:r>
              <w:rPr>
                <w:rFonts w:ascii="Consolas" w:hAnsi="Consolas"/>
                <w:b w:val="0"/>
                <w:i w:val="0"/>
                <w:color w:val="8B1A3A"/>
                <w:sz w:val="18"/>
              </w:rPr>
              <w:t>ms-pedidos</w:t>
            </w:r>
            <w:r>
              <w:rPr>
                <w:b w:val="0"/>
                <w:i w:val="0"/>
                <w:sz w:val="19"/>
              </w:rPr>
              <w:t xml:space="preserve">, </w:t>
            </w:r>
            <w:r>
              <w:rPr>
                <w:rFonts w:ascii="Consolas" w:hAnsi="Consolas"/>
                <w:b w:val="0"/>
                <w:i w:val="0"/>
                <w:color w:val="8B1A3A"/>
                <w:sz w:val="18"/>
              </w:rPr>
              <w:t>ms-pagamentos</w:t>
            </w:r>
            <w:r>
              <w:rPr>
                <w:b w:val="0"/>
                <w:i w:val="0"/>
                <w:sz w:val="19"/>
              </w:rPr>
              <w:t xml:space="preserve">, </w:t>
            </w:r>
            <w:r>
              <w:rPr>
                <w:rFonts w:ascii="Consolas" w:hAnsi="Consolas"/>
                <w:b w:val="0"/>
                <w:i w:val="0"/>
                <w:color w:val="8B1A3A"/>
                <w:sz w:val="18"/>
              </w:rPr>
              <w:t>ms-notificacoes</w:t>
            </w:r>
          </w:p>
        </w:tc>
        <w:tc>
          <w:tcPr>
            <w:tcW w:type="dxa" w:w="3402"/>
          </w:tcPr>
          <w:p>
            <w:pPr>
              <w:spacing w:after="0" w:line="240" w:lineRule="auto"/>
              <w:jc w:val="left"/>
            </w:pPr>
            <w:r/>
            <w:r>
              <w:rPr>
                <w:b w:val="0"/>
                <w:i w:val="0"/>
                <w:sz w:val="19"/>
              </w:rPr>
              <w:t>Comercial</w:t>
            </w:r>
          </w:p>
        </w:tc>
        <w:tc>
          <w:tcPr>
            <w:tcW w:type="dxa" w:w="4309"/>
          </w:tcPr>
          <w:p>
            <w:pPr>
              <w:spacing w:after="0" w:line="240" w:lineRule="auto"/>
              <w:jc w:val="left"/>
            </w:pPr>
            <w:r/>
            <w:r>
              <w:rPr>
                <w:b w:val="0"/>
                <w:i w:val="0"/>
                <w:sz w:val="19"/>
              </w:rPr>
              <w:t>Arthur (seção 4)</w:t>
            </w:r>
          </w:p>
        </w:tc>
      </w:tr>
      <w:tr>
        <w:tc>
          <w:tcPr>
            <w:tcW w:type="dxa" w:w="1928"/>
          </w:tcPr>
          <w:p>
            <w:pPr>
              <w:spacing w:after="0" w:line="240" w:lineRule="auto"/>
              <w:jc w:val="left"/>
            </w:pPr>
            <w:r/>
            <w:r>
              <w:rPr>
                <w:rFonts w:ascii="Consolas" w:hAnsi="Consolas"/>
                <w:b w:val="0"/>
                <w:i w:val="0"/>
                <w:color w:val="8B1A3A"/>
                <w:sz w:val="18"/>
              </w:rPr>
              <w:t>ms-qualidade</w:t>
            </w:r>
          </w:p>
        </w:tc>
        <w:tc>
          <w:tcPr>
            <w:tcW w:type="dxa" w:w="3402"/>
          </w:tcPr>
          <w:p>
            <w:pPr>
              <w:spacing w:after="0" w:line="240" w:lineRule="auto"/>
              <w:jc w:val="left"/>
            </w:pPr>
            <w:r/>
            <w:r>
              <w:rPr>
                <w:b w:val="0"/>
                <w:i w:val="0"/>
                <w:sz w:val="19"/>
              </w:rPr>
              <w:t>Adega</w:t>
            </w:r>
          </w:p>
        </w:tc>
        <w:tc>
          <w:tcPr>
            <w:tcW w:type="dxa" w:w="4309"/>
          </w:tcPr>
          <w:p>
            <w:pPr>
              <w:spacing w:after="0" w:line="240" w:lineRule="auto"/>
              <w:jc w:val="left"/>
            </w:pPr>
            <w:r/>
            <w:r>
              <w:rPr>
                <w:b w:val="0"/>
                <w:i w:val="0"/>
                <w:sz w:val="19"/>
              </w:rPr>
              <w:t>Kevin (seção 2)</w:t>
            </w:r>
          </w:p>
        </w:tc>
      </w:tr>
      <w:tr>
        <w:tc>
          <w:tcPr>
            <w:tcW w:type="dxa" w:w="1928"/>
          </w:tcPr>
          <w:p>
            <w:pPr>
              <w:spacing w:after="0" w:line="240" w:lineRule="auto"/>
              <w:jc w:val="left"/>
            </w:pPr>
            <w:r/>
            <w:r>
              <w:rPr>
                <w:rFonts w:ascii="Consolas" w:hAnsi="Consolas"/>
                <w:b w:val="0"/>
                <w:i w:val="0"/>
                <w:color w:val="8B1A3A"/>
                <w:sz w:val="18"/>
              </w:rPr>
              <w:t>ms-clientes</w:t>
            </w:r>
            <w:r>
              <w:rPr>
                <w:b w:val="0"/>
                <w:i w:val="0"/>
                <w:sz w:val="19"/>
              </w:rPr>
              <w:t xml:space="preserve">, </w:t>
            </w:r>
            <w:r>
              <w:rPr>
                <w:rFonts w:ascii="Consolas" w:hAnsi="Consolas"/>
                <w:b w:val="0"/>
                <w:i w:val="0"/>
                <w:color w:val="8B1A3A"/>
                <w:sz w:val="18"/>
              </w:rPr>
              <w:t>ms-analytics</w:t>
            </w:r>
          </w:p>
        </w:tc>
        <w:tc>
          <w:tcPr>
            <w:tcW w:type="dxa" w:w="3402"/>
          </w:tcPr>
          <w:p>
            <w:pPr>
              <w:spacing w:after="0" w:line="240" w:lineRule="auto"/>
              <w:jc w:val="left"/>
            </w:pPr>
            <w:r/>
            <w:r>
              <w:rPr>
                <w:b w:val="0"/>
                <w:i w:val="0"/>
                <w:sz w:val="19"/>
              </w:rPr>
              <w:t>Dados e LGPD</w:t>
            </w:r>
          </w:p>
        </w:tc>
        <w:tc>
          <w:tcPr>
            <w:tcW w:type="dxa" w:w="4309"/>
          </w:tcPr>
          <w:p>
            <w:pPr>
              <w:spacing w:after="0" w:line="240" w:lineRule="auto"/>
              <w:jc w:val="left"/>
            </w:pPr>
            <w:r/>
            <w:r>
              <w:rPr>
                <w:b w:val="0"/>
                <w:i w:val="0"/>
                <w:sz w:val="19"/>
              </w:rPr>
              <w:t>Yasmin (seção 5)</w:t>
            </w:r>
          </w:p>
        </w:tc>
      </w:tr>
    </w:tbl>
    <w:p>
      <w:pPr>
        <w:ind w:left="454"/>
      </w:pPr>
      <w:r>
        <w:rPr>
          <w:b w:val="0"/>
          <w:i/>
          <w:color w:val="595959"/>
          <w:sz w:val="20"/>
        </w:rPr>
        <w:t>Os responsáveis técnicos seguem a divisão do cronograma da Fase 6; os domínios definitivos vêm da lista congelada da seção 1, que é a fonte única dos nomes.</w:t>
      </w:r>
    </w:p>
    <w:p>
      <w:pPr>
        <w:pStyle w:val="Heading3"/>
      </w:pPr>
      <w:r>
        <w:rPr>
          <w:b w:val="0"/>
          <w:i w:val="0"/>
          <w:sz w:val="22"/>
        </w:rPr>
        <w:t>5.9.4 ADRs — Architecture Decision Records</w:t>
      </w:r>
    </w:p>
    <w:p>
      <w:r>
        <w:rPr>
          <w:b w:val="0"/>
          <w:i w:val="0"/>
          <w:sz w:val="22"/>
        </w:rPr>
        <w:t xml:space="preserve">Arquivos curtos em </w:t>
      </w:r>
      <w:r>
        <w:rPr>
          <w:rFonts w:ascii="Consolas" w:hAnsi="Consolas"/>
          <w:b w:val="0"/>
          <w:i w:val="0"/>
          <w:color w:val="8B1A3A"/>
          <w:sz w:val="21"/>
        </w:rPr>
        <w:t>Documentacao/Fase6/adr/</w:t>
      </w:r>
      <w:r>
        <w:rPr>
          <w:b w:val="0"/>
          <w:i w:val="0"/>
          <w:sz w:val="22"/>
        </w:rPr>
        <w:t>, um por decisão: contexto → decisão → consequências (boas e ruins).</w:t>
      </w:r>
    </w:p>
    <w:p>
      <w:pPr>
        <w:pStyle w:val="ListBullet"/>
      </w:pPr>
      <w:r>
        <w:rPr>
          <w:b/>
          <w:i w:val="0"/>
          <w:sz w:val="22"/>
        </w:rPr>
        <w:t>ADR-001 — OAuth 2.0/OIDC com Keycloak no lugar de sessão de servidor.</w:t>
      </w:r>
      <w:r>
        <w:rPr>
          <w:b w:val="0"/>
          <w:i w:val="0"/>
          <w:sz w:val="22"/>
        </w:rPr>
        <w:t xml:space="preserve"> Contexto: o monolito autentica com sessão e credenciais em memória (</w:t>
      </w:r>
      <w:r>
        <w:rPr>
          <w:rFonts w:ascii="Consolas" w:hAnsi="Consolas"/>
          <w:b w:val="0"/>
          <w:i w:val="0"/>
          <w:color w:val="8B1A3A"/>
          <w:sz w:val="21"/>
        </w:rPr>
        <w:t>InMemoryDatabase</w:t>
      </w:r>
      <w:r>
        <w:rPr>
          <w:b w:val="0"/>
          <w:i w:val="0"/>
          <w:sz w:val="22"/>
        </w:rPr>
        <w:t xml:space="preserve">), o que não escala nem sobrevive a </w:t>
      </w:r>
      <w:r>
        <w:rPr>
          <w:b w:val="0"/>
          <w:i/>
          <w:sz w:val="22"/>
        </w:rPr>
        <w:t>restart</w:t>
      </w:r>
      <w:r>
        <w:rPr>
          <w:b w:val="0"/>
          <w:i w:val="0"/>
          <w:sz w:val="22"/>
        </w:rPr>
        <w:t xml:space="preserve">. Decisão: identidade centralizada, JWT de vida curta, nenhum serviço guarda senha. Consequência: serviços ficam </w:t>
      </w:r>
      <w:r>
        <w:rPr>
          <w:b w:val="0"/>
          <w:i/>
          <w:sz w:val="22"/>
        </w:rPr>
        <w:t>stateless</w:t>
      </w:r>
      <w:r>
        <w:rPr>
          <w:b w:val="0"/>
          <w:i w:val="0"/>
          <w:sz w:val="22"/>
        </w:rPr>
        <w:t xml:space="preserve"> e escaláveis; em troca, o </w:t>
      </w:r>
      <w:r>
        <w:rPr>
          <w:rFonts w:ascii="Consolas" w:hAnsi="Consolas"/>
          <w:b w:val="0"/>
          <w:i w:val="0"/>
          <w:color w:val="8B1A3A"/>
          <w:sz w:val="21"/>
        </w:rPr>
        <w:t>ms-identidade</w:t>
      </w:r>
      <w:r>
        <w:rPr>
          <w:b w:val="0"/>
          <w:i w:val="0"/>
          <w:sz w:val="22"/>
        </w:rPr>
        <w:t xml:space="preserve"> vira dependência crítica (mitigada com cache de JWKS e tolerância a falha na validação).</w:t>
      </w:r>
    </w:p>
    <w:p>
      <w:pPr>
        <w:pStyle w:val="ListBullet"/>
      </w:pPr>
      <w:r>
        <w:rPr>
          <w:b/>
          <w:i w:val="0"/>
          <w:sz w:val="22"/>
        </w:rPr>
        <w:t>ADR-002 — Validação de token centralizada no API Gateway.</w:t>
      </w:r>
      <w:r>
        <w:rPr>
          <w:b w:val="0"/>
          <w:i w:val="0"/>
          <w:sz w:val="22"/>
        </w:rPr>
        <w:t xml:space="preserve"> Contexto: validar em todos os serviços duplicaria lógica e acoplaria cada serviço ao Keycloak. Decisão: validação de borda + canal interno autenticado por mTLS. Consequência: menos duplicação e um ponto de política; em troca, o gateway vira ponto único (mitigado com réplicas e </w:t>
      </w:r>
      <w:r>
        <w:rPr>
          <w:b w:val="0"/>
          <w:i/>
          <w:sz w:val="22"/>
        </w:rPr>
        <w:t>health check</w:t>
      </w:r>
      <w:r>
        <w:rPr>
          <w:b w:val="0"/>
          <w:i w:val="0"/>
          <w:sz w:val="22"/>
        </w:rPr>
        <w:t>).</w:t>
      </w:r>
    </w:p>
    <w:p>
      <w:pPr>
        <w:pStyle w:val="ListBullet"/>
      </w:pPr>
      <w:r>
        <w:rPr>
          <w:b/>
          <w:i w:val="0"/>
          <w:sz w:val="22"/>
        </w:rPr>
        <w:t>ADR-003 — Identidade MQTT por dispositivo com ACL de publicação.</w:t>
      </w:r>
      <w:r>
        <w:rPr>
          <w:b w:val="0"/>
          <w:i w:val="0"/>
          <w:sz w:val="22"/>
        </w:rPr>
        <w:t xml:space="preserve"> Contexto: credencial compartilhada com Publish+Subscribe permite leitura falsa de adega. Decisão: usuário por dispositivo, publicação restrita ao tópico próprio, ponte de compatibilidade para o tópico legado. Consequência: telemetria confiável e auditável; em troca, há que provisionar credencial por dispositivo e manter a ponte durante a migração.</w:t>
      </w:r>
    </w:p>
    <w:p>
      <w:pPr>
        <w:pStyle w:val="Heading2"/>
      </w:pPr>
      <w:r>
        <w:rPr>
          <w:b w:val="0"/>
          <w:i w:val="0"/>
          <w:sz w:val="22"/>
        </w:rPr>
        <w:t>5.10 Riscos residuais e pendências</w:t>
      </w:r>
    </w:p>
    <w:p>
      <w:pPr>
        <w:keepNext/>
        <w:spacing w:after="60" w:before="0"/>
        <w:jc w:val="left"/>
      </w:pPr>
      <w:r>
        <w:rPr>
          <w:b w:val="0"/>
          <w:i/>
          <w:color w:val="595959"/>
          <w:sz w:val="19"/>
        </w:rPr>
        <w:t>Tabela 27 — Riscos residuais e pendências</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2551"/>
            <w:shd w:val="clear" w:fill="F4E7EB"/>
          </w:tcPr>
          <w:p>
            <w:pPr>
              <w:spacing w:after="0"/>
              <w:jc w:val="left"/>
            </w:pPr>
            <w:r>
              <w:rPr>
                <w:b/>
              </w:rPr>
            </w:r>
            <w:r>
              <w:rPr>
                <w:b/>
                <w:i w:val="0"/>
                <w:sz w:val="19"/>
              </w:rPr>
              <w:t>Item</w:t>
            </w:r>
          </w:p>
        </w:tc>
        <w:tc>
          <w:tcPr>
            <w:tcW w:type="dxa" w:w="4252"/>
            <w:shd w:val="clear" w:fill="F4E7EB"/>
          </w:tcPr>
          <w:p>
            <w:pPr>
              <w:spacing w:after="0"/>
              <w:jc w:val="left"/>
            </w:pPr>
            <w:r>
              <w:rPr>
                <w:b/>
              </w:rPr>
            </w:r>
            <w:r>
              <w:rPr>
                <w:b/>
                <w:i w:val="0"/>
                <w:sz w:val="19"/>
              </w:rPr>
              <w:t>Situação</w:t>
            </w:r>
          </w:p>
        </w:tc>
        <w:tc>
          <w:tcPr>
            <w:tcW w:type="dxa" w:w="2835"/>
            <w:shd w:val="clear" w:fill="F4E7EB"/>
          </w:tcPr>
          <w:p>
            <w:pPr>
              <w:spacing w:after="0"/>
              <w:jc w:val="left"/>
            </w:pPr>
            <w:r>
              <w:rPr>
                <w:b/>
              </w:rPr>
            </w:r>
            <w:r>
              <w:rPr>
                <w:b/>
                <w:i w:val="0"/>
                <w:sz w:val="19"/>
              </w:rPr>
              <w:t>Depende de</w:t>
            </w:r>
          </w:p>
        </w:tc>
      </w:tr>
      <w:tr>
        <w:tc>
          <w:tcPr>
            <w:tcW w:type="dxa" w:w="2551"/>
          </w:tcPr>
          <w:p>
            <w:pPr>
              <w:spacing w:after="0" w:line="240" w:lineRule="auto"/>
              <w:jc w:val="left"/>
            </w:pPr>
            <w:r/>
            <w:r>
              <w:rPr>
                <w:b w:val="0"/>
                <w:i w:val="0"/>
                <w:sz w:val="19"/>
              </w:rPr>
              <w:t>Nomes definitivos dos serviços e donos do dado</w:t>
            </w:r>
          </w:p>
        </w:tc>
        <w:tc>
          <w:tcPr>
            <w:tcW w:type="dxa" w:w="4252"/>
          </w:tcPr>
          <w:p>
            <w:pPr>
              <w:spacing w:after="0" w:line="240" w:lineRule="auto"/>
              <w:jc w:val="left"/>
            </w:pPr>
            <w:r/>
            <w:r>
              <w:rPr>
                <w:b w:val="0"/>
                <w:i w:val="0"/>
                <w:sz w:val="19"/>
              </w:rPr>
              <w:t>Estimados a partir do repositório e da proposta da seção 1</w:t>
            </w:r>
          </w:p>
        </w:tc>
        <w:tc>
          <w:tcPr>
            <w:tcW w:type="dxa" w:w="2835"/>
          </w:tcPr>
          <w:p>
            <w:pPr>
              <w:spacing w:after="0" w:line="240" w:lineRule="auto"/>
              <w:jc w:val="left"/>
            </w:pPr>
            <w:r/>
            <w:r>
              <w:rPr>
                <w:b w:val="0"/>
                <w:i w:val="0"/>
                <w:sz w:val="19"/>
              </w:rPr>
              <w:t>Lista congelada da seção 1 (21/09) — esta seção usa os mesmos nomes assim que congelados</w:t>
            </w:r>
          </w:p>
        </w:tc>
      </w:tr>
      <w:tr>
        <w:tc>
          <w:tcPr>
            <w:tcW w:type="dxa" w:w="2551"/>
          </w:tcPr>
          <w:p>
            <w:pPr>
              <w:spacing w:after="0" w:line="240" w:lineRule="auto"/>
              <w:jc w:val="left"/>
            </w:pPr>
            <w:r/>
            <w:r>
              <w:rPr>
                <w:b w:val="0"/>
                <w:i w:val="0"/>
                <w:sz w:val="19"/>
              </w:rPr>
              <w:t>Papéis da matriz de autorização por serviço</w:t>
            </w:r>
          </w:p>
        </w:tc>
        <w:tc>
          <w:tcPr>
            <w:tcW w:type="dxa" w:w="4252"/>
          </w:tcPr>
          <w:p>
            <w:pPr>
              <w:spacing w:after="0" w:line="240" w:lineRule="auto"/>
              <w:jc w:val="left"/>
            </w:pPr>
            <w:r/>
            <w:r>
              <w:rPr>
                <w:b w:val="0"/>
                <w:i w:val="0"/>
                <w:sz w:val="19"/>
              </w:rPr>
              <w:t>Definidos por domínio funcional</w:t>
            </w:r>
          </w:p>
        </w:tc>
        <w:tc>
          <w:tcPr>
            <w:tcW w:type="dxa" w:w="2835"/>
          </w:tcPr>
          <w:p>
            <w:pPr>
              <w:spacing w:after="0" w:line="240" w:lineRule="auto"/>
              <w:jc w:val="left"/>
            </w:pPr>
            <w:r/>
            <w:r>
              <w:rPr>
                <w:b w:val="0"/>
                <w:i w:val="0"/>
                <w:sz w:val="19"/>
              </w:rPr>
              <w:t>Revisão final contra o diagrama da seção 2 e a matriz da seção 4</w:t>
            </w:r>
          </w:p>
        </w:tc>
      </w:tr>
      <w:tr>
        <w:tc>
          <w:tcPr>
            <w:tcW w:type="dxa" w:w="2551"/>
          </w:tcPr>
          <w:p>
            <w:pPr>
              <w:spacing w:after="0" w:line="240" w:lineRule="auto"/>
              <w:jc w:val="left"/>
            </w:pPr>
            <w:r/>
            <w:r>
              <w:rPr>
                <w:b w:val="0"/>
                <w:i w:val="0"/>
                <w:sz w:val="19"/>
              </w:rPr>
              <w:t>Nomes dos tópicos Kafka</w:t>
            </w:r>
          </w:p>
        </w:tc>
        <w:tc>
          <w:tcPr>
            <w:tcW w:type="dxa" w:w="4252"/>
          </w:tcPr>
          <w:p>
            <w:pPr>
              <w:spacing w:after="0" w:line="240" w:lineRule="auto"/>
              <w:jc w:val="left"/>
            </w:pPr>
            <w:r/>
            <w:r>
              <w:rPr>
                <w:b w:val="0"/>
                <w:i w:val="0"/>
                <w:sz w:val="19"/>
              </w:rPr>
              <w:t>Propostos aqui e iguais aos do desenho</w:t>
            </w:r>
          </w:p>
        </w:tc>
        <w:tc>
          <w:tcPr>
            <w:tcW w:type="dxa" w:w="2835"/>
          </w:tcPr>
          <w:p>
            <w:pPr>
              <w:spacing w:after="0" w:line="240" w:lineRule="auto"/>
              <w:jc w:val="left"/>
            </w:pPr>
            <w:r/>
            <w:r>
              <w:rPr>
                <w:b w:val="0"/>
                <w:i w:val="0"/>
                <w:sz w:val="19"/>
              </w:rPr>
              <w:t xml:space="preserve">Confirmação cruzada com a seção 4 (fonte única: </w:t>
            </w:r>
            <w:r>
              <w:rPr>
                <w:rFonts w:ascii="Consolas" w:hAnsi="Consolas"/>
                <w:b w:val="0"/>
                <w:i w:val="0"/>
                <w:color w:val="8B1A3A"/>
                <w:sz w:val="18"/>
              </w:rPr>
              <w:t>pedido.criado</w:t>
            </w:r>
            <w:r>
              <w:rPr>
                <w:b w:val="0"/>
                <w:i w:val="0"/>
                <w:sz w:val="19"/>
              </w:rPr>
              <w:t xml:space="preserve">, </w:t>
            </w:r>
            <w:r>
              <w:rPr>
                <w:rFonts w:ascii="Consolas" w:hAnsi="Consolas"/>
                <w:b w:val="0"/>
                <w:i w:val="0"/>
                <w:color w:val="8B1A3A"/>
                <w:sz w:val="18"/>
              </w:rPr>
              <w:t>estoque.reservado</w:t>
            </w:r>
            <w:r>
              <w:rPr>
                <w:b w:val="0"/>
                <w:i w:val="0"/>
                <w:sz w:val="19"/>
              </w:rPr>
              <w:t xml:space="preserve">, </w:t>
            </w:r>
            <w:r>
              <w:rPr>
                <w:rFonts w:ascii="Consolas" w:hAnsi="Consolas"/>
                <w:b w:val="0"/>
                <w:i w:val="0"/>
                <w:color w:val="8B1A3A"/>
                <w:sz w:val="18"/>
              </w:rPr>
              <w:t>pagamento.aprovado</w:t>
            </w:r>
            <w:r>
              <w:rPr>
                <w:b w:val="0"/>
                <w:i w:val="0"/>
                <w:sz w:val="19"/>
              </w:rPr>
              <w:t xml:space="preserve">, </w:t>
            </w:r>
            <w:r>
              <w:rPr>
                <w:rFonts w:ascii="Consolas" w:hAnsi="Consolas"/>
                <w:b w:val="0"/>
                <w:i w:val="0"/>
                <w:color w:val="8B1A3A"/>
                <w:sz w:val="18"/>
              </w:rPr>
              <w:t>pagamento.recusado</w:t>
            </w:r>
            <w:r>
              <w:rPr>
                <w:b w:val="0"/>
                <w:i w:val="0"/>
                <w:sz w:val="19"/>
              </w:rPr>
              <w:t xml:space="preserve">, </w:t>
            </w:r>
            <w:r>
              <w:rPr>
                <w:rFonts w:ascii="Consolas" w:hAnsi="Consolas"/>
                <w:b w:val="0"/>
                <w:i w:val="0"/>
                <w:color w:val="8B1A3A"/>
                <w:sz w:val="18"/>
              </w:rPr>
              <w:t>lote.criado</w:t>
            </w:r>
            <w:r>
              <w:rPr>
                <w:b w:val="0"/>
                <w:i w:val="0"/>
                <w:sz w:val="19"/>
              </w:rPr>
              <w:t xml:space="preserve">, </w:t>
            </w:r>
            <w:r>
              <w:rPr>
                <w:rFonts w:ascii="Consolas" w:hAnsi="Consolas"/>
                <w:b w:val="0"/>
                <w:i w:val="0"/>
                <w:color w:val="8B1A3A"/>
                <w:sz w:val="18"/>
              </w:rPr>
              <w:t>qualidade.leitura</w:t>
            </w:r>
            <w:r>
              <w:rPr>
                <w:b w:val="0"/>
                <w:i w:val="0"/>
                <w:sz w:val="19"/>
              </w:rPr>
              <w:t xml:space="preserve">, </w:t>
            </w:r>
            <w:r>
              <w:rPr>
                <w:rFonts w:ascii="Consolas" w:hAnsi="Consolas"/>
                <w:b w:val="0"/>
                <w:i w:val="0"/>
                <w:color w:val="8B1A3A"/>
                <w:sz w:val="18"/>
              </w:rPr>
              <w:t>qualidade.alerta</w:t>
            </w:r>
            <w:r>
              <w:rPr>
                <w:b w:val="0"/>
                <w:i w:val="0"/>
                <w:sz w:val="19"/>
              </w:rPr>
              <w:t xml:space="preserve">, </w:t>
            </w:r>
            <w:r>
              <w:rPr>
                <w:rFonts w:ascii="Consolas" w:hAnsi="Consolas"/>
                <w:b w:val="0"/>
                <w:i w:val="0"/>
                <w:color w:val="8B1A3A"/>
                <w:sz w:val="18"/>
              </w:rPr>
              <w:t>notificacao.enviar</w:t>
            </w:r>
            <w:r>
              <w:rPr>
                <w:b w:val="0"/>
                <w:i w:val="0"/>
                <w:sz w:val="19"/>
              </w:rPr>
              <w:t xml:space="preserve">; eventos de privacidade: </w:t>
            </w:r>
            <w:r>
              <w:rPr>
                <w:rFonts w:ascii="Consolas" w:hAnsi="Consolas"/>
                <w:b w:val="0"/>
                <w:i w:val="0"/>
                <w:color w:val="8B1A3A"/>
                <w:sz w:val="18"/>
              </w:rPr>
              <w:t>cliente.anonimizado</w:t>
            </w:r>
            <w:r>
              <w:rPr>
                <w:b w:val="0"/>
                <w:i w:val="0"/>
                <w:sz w:val="19"/>
              </w:rPr>
              <w:t>)</w:t>
            </w:r>
          </w:p>
        </w:tc>
      </w:tr>
      <w:tr>
        <w:tc>
          <w:tcPr>
            <w:tcW w:type="dxa" w:w="2551"/>
          </w:tcPr>
          <w:p>
            <w:pPr>
              <w:spacing w:after="0" w:line="240" w:lineRule="auto"/>
              <w:jc w:val="left"/>
            </w:pPr>
            <w:r/>
            <w:r>
              <w:rPr>
                <w:b w:val="0"/>
                <w:i w:val="0"/>
                <w:sz w:val="19"/>
              </w:rPr>
              <w:t>Cifra do banco Room e fluxo PKCE no mobile</w:t>
            </w:r>
          </w:p>
        </w:tc>
        <w:tc>
          <w:tcPr>
            <w:tcW w:type="dxa" w:w="4252"/>
          </w:tcPr>
          <w:p>
            <w:pPr>
              <w:spacing w:after="0" w:line="240" w:lineRule="auto"/>
              <w:jc w:val="left"/>
            </w:pPr>
            <w:r/>
            <w:r>
              <w:rPr>
                <w:b w:val="0"/>
                <w:i w:val="0"/>
                <w:sz w:val="19"/>
              </w:rPr>
              <w:t>Especificado nesta seção</w:t>
            </w:r>
          </w:p>
        </w:tc>
        <w:tc>
          <w:tcPr>
            <w:tcW w:type="dxa" w:w="2835"/>
          </w:tcPr>
          <w:p>
            <w:pPr>
              <w:spacing w:after="0" w:line="240" w:lineRule="auto"/>
              <w:jc w:val="left"/>
            </w:pPr>
            <w:r/>
            <w:r>
              <w:rPr>
                <w:b w:val="0"/>
                <w:i w:val="0"/>
                <w:sz w:val="19"/>
              </w:rPr>
              <w:t>Execução depende do time mobile (fase de implementação, não desta atividade)</w:t>
            </w:r>
          </w:p>
        </w:tc>
      </w:tr>
      <w:tr>
        <w:tc>
          <w:tcPr>
            <w:tcW w:type="dxa" w:w="2551"/>
          </w:tcPr>
          <w:p>
            <w:pPr>
              <w:spacing w:after="0" w:line="240" w:lineRule="auto"/>
              <w:jc w:val="left"/>
            </w:pPr>
            <w:r/>
            <w:r>
              <w:rPr>
                <w:b w:val="0"/>
                <w:i w:val="0"/>
                <w:sz w:val="19"/>
              </w:rPr>
              <w:t>Política de retenção formal (parecer jurídico)</w:t>
            </w:r>
          </w:p>
        </w:tc>
        <w:tc>
          <w:tcPr>
            <w:tcW w:type="dxa" w:w="4252"/>
          </w:tcPr>
          <w:p>
            <w:pPr>
              <w:spacing w:after="0" w:line="240" w:lineRule="auto"/>
              <w:jc w:val="left"/>
            </w:pPr>
            <w:r/>
            <w:r>
              <w:rPr>
                <w:b w:val="0"/>
                <w:i w:val="0"/>
                <w:sz w:val="19"/>
              </w:rPr>
              <w:t>Valores propostos com base em prática de mercado e LGPD</w:t>
            </w:r>
          </w:p>
        </w:tc>
        <w:tc>
          <w:tcPr>
            <w:tcW w:type="dxa" w:w="2835"/>
          </w:tcPr>
          <w:p>
            <w:pPr>
              <w:spacing w:after="0" w:line="240" w:lineRule="auto"/>
              <w:jc w:val="left"/>
            </w:pPr>
            <w:r/>
            <w:r>
              <w:rPr>
                <w:b w:val="0"/>
                <w:i w:val="0"/>
                <w:sz w:val="19"/>
              </w:rPr>
              <w:t>Validação do professor/instituição, se exigida</w:t>
            </w:r>
          </w:p>
        </w:tc>
      </w:tr>
    </w:tbl>
    <w:p>
      <w:pPr>
        <w:pStyle w:val="Heading2"/>
      </w:pPr>
      <w:r>
        <w:rPr>
          <w:b w:val="0"/>
          <w:i w:val="0"/>
          <w:sz w:val="22"/>
        </w:rPr>
        <w:t>5.11 Fechamento</w:t>
      </w:r>
    </w:p>
    <w:p>
      <w:r>
        <w:rPr>
          <w:b w:val="0"/>
          <w:i w:val="0"/>
          <w:sz w:val="22"/>
        </w:rPr>
        <w:t xml:space="preserve">Esta seção fecha a arquitetura pelo lado que o desenho sozinho não garante: </w:t>
      </w:r>
      <w:r>
        <w:rPr>
          <w:b/>
          <w:i w:val="0"/>
          <w:sz w:val="22"/>
        </w:rPr>
        <w:t>quem pode fazer o quê, sob quais condições, com qual rastreabilidade e o que acontece quando algo falha</w:t>
      </w:r>
      <w:r>
        <w:rPr>
          <w:b w:val="0"/>
          <w:i w:val="0"/>
          <w:sz w:val="22"/>
        </w:rPr>
        <w:t>. Ela responde, com decisões explícitas e justificadas, aos pontos que a auditoria do próprio repositório expôs: sessão e senha padrão em memória (seção 5.3), rotas administrativas sem verificação de papel (seção 5.4), CORS aberto e API sem autenticação efetiva (seção 5.3.5), banco único compartilhado (seção 5.5), contrato não versionado (seção 5.9) e credencial de broker compartilhada (seção 5.6, ADR-003).</w:t>
      </w:r>
    </w:p>
    <w:p>
      <w:r>
        <w:rPr>
          <w:b w:val="0"/>
          <w:i w:val="0"/>
          <w:sz w:val="22"/>
        </w:rPr>
        <w:t xml:space="preserve">Para a consolidação do </w:t>
      </w:r>
      <w:r>
        <w:rPr>
          <w:rFonts w:ascii="Consolas" w:hAnsi="Consolas"/>
          <w:b w:val="0"/>
          <w:i w:val="0"/>
          <w:color w:val="8B1A3A"/>
          <w:sz w:val="21"/>
        </w:rPr>
        <w:t>.docx</w:t>
      </w:r>
      <w:r>
        <w:rPr>
          <w:b w:val="0"/>
          <w:i w:val="0"/>
          <w:sz w:val="22"/>
        </w:rPr>
        <w:t xml:space="preserve">, esta parte entra como </w:t>
      </w:r>
      <w:r>
        <w:rPr>
          <w:b/>
          <w:i w:val="0"/>
          <w:sz w:val="22"/>
        </w:rPr>
        <w:t>Seção 5</w:t>
      </w:r>
      <w:r>
        <w:rPr>
          <w:b w:val="0"/>
          <w:i w:val="0"/>
          <w:sz w:val="22"/>
        </w:rPr>
        <w:t xml:space="preserve"> na ordem exigida pelo enunciado, com a tabela de divisão de tarefas já prevista. Nomes de serviços, de tópicos e de papéis aqui usados devem permanecer idênticos aos das Seções 1 a 4 — qualquer mudança posterior exige atualização nas cinco seções.</w:t>
      </w:r>
    </w:p>
    <w:p>
      <w:pPr>
        <w:sectPr>
          <w:pgSz w:w="11906" w:h="16838"/>
          <w:pgMar w:top="1134" w:right="1134" w:bottom="1134" w:left="1417" w:header="720" w:footer="720" w:gutter="0"/>
          <w:cols w:space="720"/>
          <w:docGrid w:linePitch="360"/>
        </w:sectPr>
      </w:pPr>
    </w:p>
    <w:p>
      <w:pPr>
        <w:pStyle w:val="Heading1"/>
      </w:pPr>
      <w:r>
        <w:rPr>
          <w:b w:val="0"/>
          <w:i w:val="0"/>
          <w:sz w:val="22"/>
        </w:rPr>
        <w:t>Apêndice A — Divisão de tarefas</w:t>
      </w:r>
    </w:p>
    <w:p>
      <w:pPr>
        <w:keepNext/>
        <w:spacing w:after="60" w:before="0"/>
        <w:jc w:val="left"/>
      </w:pPr>
      <w:r>
        <w:rPr>
          <w:b w:val="0"/>
          <w:i/>
          <w:color w:val="595959"/>
          <w:sz w:val="19"/>
        </w:rPr>
        <w:t>Tabela 28 — Divisão de tarefas por item da atividade</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rPr>
          <w:tblHeader w:val="true"/>
        </w:trPr>
        <w:tc>
          <w:tcPr>
            <w:tcW w:type="dxa" w:w="2041"/>
            <w:shd w:val="clear" w:fill="F4E7EB"/>
          </w:tcPr>
          <w:p>
            <w:pPr>
              <w:spacing w:after="0"/>
              <w:jc w:val="left"/>
            </w:pPr>
            <w:r>
              <w:rPr>
                <w:b/>
              </w:rPr>
            </w:r>
            <w:r>
              <w:rPr>
                <w:b/>
                <w:i w:val="0"/>
                <w:sz w:val="16"/>
              </w:rPr>
              <w:t>Item da atividade</w:t>
            </w:r>
          </w:p>
        </w:tc>
        <w:tc>
          <w:tcPr>
            <w:tcW w:type="dxa" w:w="907"/>
            <w:shd w:val="clear" w:fill="F4E7EB"/>
          </w:tcPr>
          <w:p>
            <w:pPr>
              <w:spacing w:after="0"/>
              <w:jc w:val="left"/>
            </w:pPr>
            <w:r>
              <w:rPr>
                <w:b/>
              </w:rPr>
            </w:r>
            <w:r>
              <w:rPr>
                <w:b/>
                <w:i w:val="0"/>
                <w:sz w:val="16"/>
              </w:rPr>
              <w:t>Seção</w:t>
            </w:r>
          </w:p>
        </w:tc>
        <w:tc>
          <w:tcPr>
            <w:tcW w:type="dxa" w:w="2041"/>
            <w:shd w:val="clear" w:fill="F4E7EB"/>
          </w:tcPr>
          <w:p>
            <w:pPr>
              <w:spacing w:after="0"/>
              <w:jc w:val="left"/>
            </w:pPr>
            <w:r>
              <w:rPr>
                <w:b/>
              </w:rPr>
            </w:r>
            <w:r>
              <w:rPr>
                <w:b/>
                <w:i w:val="0"/>
                <w:sz w:val="16"/>
              </w:rPr>
              <w:t>Responsável</w:t>
            </w:r>
          </w:p>
        </w:tc>
        <w:tc>
          <w:tcPr>
            <w:tcW w:type="dxa" w:w="680"/>
            <w:shd w:val="clear" w:fill="F4E7EB"/>
          </w:tcPr>
          <w:p>
            <w:pPr>
              <w:spacing w:after="0"/>
              <w:jc w:val="left"/>
            </w:pPr>
            <w:r>
              <w:rPr>
                <w:b/>
              </w:rPr>
            </w:r>
            <w:r>
              <w:rPr>
                <w:b/>
                <w:i w:val="0"/>
                <w:sz w:val="16"/>
              </w:rPr>
              <w:t>RM</w:t>
            </w:r>
          </w:p>
        </w:tc>
        <w:tc>
          <w:tcPr>
            <w:tcW w:type="dxa" w:w="2494"/>
            <w:shd w:val="clear" w:fill="F4E7EB"/>
          </w:tcPr>
          <w:p>
            <w:pPr>
              <w:spacing w:after="0"/>
              <w:jc w:val="left"/>
            </w:pPr>
            <w:r>
              <w:rPr>
                <w:b/>
              </w:rPr>
            </w:r>
            <w:r>
              <w:rPr>
                <w:b/>
                <w:i w:val="0"/>
                <w:sz w:val="16"/>
              </w:rPr>
              <w:t>Entregável no repositório</w:t>
            </w:r>
          </w:p>
        </w:tc>
        <w:tc>
          <w:tcPr>
            <w:tcW w:type="dxa" w:w="1474"/>
            <w:shd w:val="clear" w:fill="F4E7EB"/>
          </w:tcPr>
          <w:p>
            <w:pPr>
              <w:spacing w:after="0"/>
              <w:jc w:val="left"/>
            </w:pPr>
            <w:r>
              <w:rPr>
                <w:b/>
              </w:rPr>
            </w:r>
            <w:r>
              <w:rPr>
                <w:b/>
                <w:i w:val="0"/>
                <w:sz w:val="16"/>
              </w:rPr>
              <w:t>Período</w:t>
            </w:r>
          </w:p>
        </w:tc>
      </w:tr>
      <w:tr>
        <w:tc>
          <w:tcPr>
            <w:tcW w:type="dxa" w:w="2041"/>
          </w:tcPr>
          <w:p>
            <w:pPr>
              <w:spacing w:after="0" w:line="240" w:lineRule="auto"/>
              <w:jc w:val="left"/>
            </w:pPr>
            <w:r/>
            <w:r>
              <w:rPr>
                <w:b w:val="0"/>
                <w:i w:val="0"/>
                <w:sz w:val="16"/>
              </w:rPr>
              <w:t>1 — Identificação dos microsserviços</w:t>
            </w:r>
          </w:p>
        </w:tc>
        <w:tc>
          <w:tcPr>
            <w:tcW w:type="dxa" w:w="907"/>
          </w:tcPr>
          <w:p>
            <w:pPr>
              <w:spacing w:after="0" w:line="240" w:lineRule="auto"/>
              <w:jc w:val="left"/>
            </w:pPr>
            <w:r/>
            <w:r>
              <w:rPr>
                <w:b w:val="0"/>
                <w:i w:val="0"/>
                <w:sz w:val="16"/>
              </w:rPr>
              <w:t>1</w:t>
            </w:r>
          </w:p>
        </w:tc>
        <w:tc>
          <w:tcPr>
            <w:tcW w:type="dxa" w:w="2041"/>
          </w:tcPr>
          <w:p>
            <w:pPr>
              <w:spacing w:after="0" w:line="240" w:lineRule="auto"/>
              <w:jc w:val="left"/>
            </w:pPr>
            <w:r/>
            <w:r>
              <w:rPr>
                <w:b w:val="0"/>
                <w:i w:val="0"/>
                <w:sz w:val="16"/>
              </w:rPr>
              <w:t>Roger Viana Gonçalves de Alencar</w:t>
            </w:r>
          </w:p>
        </w:tc>
        <w:tc>
          <w:tcPr>
            <w:tcW w:type="dxa" w:w="680"/>
          </w:tcPr>
          <w:p>
            <w:pPr>
              <w:spacing w:after="0" w:line="240" w:lineRule="auto"/>
              <w:jc w:val="left"/>
            </w:pPr>
            <w:r/>
            <w:r>
              <w:rPr>
                <w:b w:val="0"/>
                <w:i w:val="0"/>
                <w:sz w:val="16"/>
              </w:rPr>
              <w:t>97540</w:t>
            </w:r>
          </w:p>
        </w:tc>
        <w:tc>
          <w:tcPr>
            <w:tcW w:type="dxa" w:w="2494"/>
          </w:tcPr>
          <w:p>
            <w:pPr>
              <w:spacing w:after="0" w:line="240" w:lineRule="auto"/>
              <w:jc w:val="left"/>
            </w:pPr>
            <w:r/>
            <w:r>
              <w:rPr>
                <w:rFonts w:ascii="Consolas" w:hAnsi="Consolas"/>
                <w:b w:val="0"/>
                <w:i w:val="0"/>
                <w:color w:val="8B1A3A"/>
                <w:sz w:val="15"/>
              </w:rPr>
              <w:t>Documentacao/Fase6/P1_servicos.md</w:t>
            </w:r>
          </w:p>
        </w:tc>
        <w:tc>
          <w:tcPr>
            <w:tcW w:type="dxa" w:w="1474"/>
          </w:tcPr>
          <w:p>
            <w:pPr>
              <w:spacing w:after="0" w:line="240" w:lineRule="auto"/>
              <w:jc w:val="left"/>
            </w:pPr>
            <w:r/>
            <w:r>
              <w:rPr>
                <w:b w:val="0"/>
                <w:i w:val="0"/>
                <w:sz w:val="16"/>
              </w:rPr>
              <w:t>16/09 a 21/09/2026</w:t>
            </w:r>
          </w:p>
        </w:tc>
      </w:tr>
      <w:tr>
        <w:tc>
          <w:tcPr>
            <w:tcW w:type="dxa" w:w="2041"/>
          </w:tcPr>
          <w:p>
            <w:pPr>
              <w:spacing w:after="0" w:line="240" w:lineRule="auto"/>
              <w:jc w:val="left"/>
            </w:pPr>
            <w:r/>
            <w:r>
              <w:rPr>
                <w:b w:val="0"/>
                <w:i w:val="0"/>
                <w:sz w:val="16"/>
              </w:rPr>
              <w:t>2 — Diagrama de arquitetura</w:t>
            </w:r>
          </w:p>
        </w:tc>
        <w:tc>
          <w:tcPr>
            <w:tcW w:type="dxa" w:w="907"/>
          </w:tcPr>
          <w:p>
            <w:pPr>
              <w:spacing w:after="0" w:line="240" w:lineRule="auto"/>
              <w:jc w:val="left"/>
            </w:pPr>
            <w:r/>
            <w:r>
              <w:rPr>
                <w:b w:val="0"/>
                <w:i w:val="0"/>
                <w:sz w:val="16"/>
              </w:rPr>
              <w:t>2</w:t>
            </w:r>
          </w:p>
        </w:tc>
        <w:tc>
          <w:tcPr>
            <w:tcW w:type="dxa" w:w="2041"/>
          </w:tcPr>
          <w:p>
            <w:pPr>
              <w:spacing w:after="0" w:line="240" w:lineRule="auto"/>
              <w:jc w:val="left"/>
            </w:pPr>
            <w:r/>
            <w:r>
              <w:rPr>
                <w:b w:val="0"/>
                <w:i w:val="0"/>
                <w:sz w:val="16"/>
              </w:rPr>
              <w:t>Kevin Benevides da Silva Romariz</w:t>
            </w:r>
          </w:p>
        </w:tc>
        <w:tc>
          <w:tcPr>
            <w:tcW w:type="dxa" w:w="680"/>
          </w:tcPr>
          <w:p>
            <w:pPr>
              <w:spacing w:after="0" w:line="240" w:lineRule="auto"/>
              <w:jc w:val="left"/>
            </w:pPr>
            <w:r/>
            <w:r>
              <w:rPr>
                <w:b w:val="0"/>
                <w:i w:val="0"/>
                <w:sz w:val="16"/>
              </w:rPr>
              <w:t>557898</w:t>
            </w:r>
          </w:p>
        </w:tc>
        <w:tc>
          <w:tcPr>
            <w:tcW w:type="dxa" w:w="2494"/>
          </w:tcPr>
          <w:p>
            <w:pPr>
              <w:spacing w:after="0" w:line="240" w:lineRule="auto"/>
              <w:jc w:val="left"/>
            </w:pPr>
            <w:r/>
            <w:r>
              <w:rPr>
                <w:rFonts w:ascii="Consolas" w:hAnsi="Consolas"/>
                <w:b w:val="0"/>
                <w:i w:val="0"/>
                <w:color w:val="8B1A3A"/>
                <w:sz w:val="15"/>
              </w:rPr>
              <w:t>P2_arquitetura.drawio</w:t>
            </w:r>
            <w:r>
              <w:rPr>
                <w:b w:val="0"/>
                <w:i w:val="0"/>
                <w:sz w:val="16"/>
              </w:rPr>
              <w:t xml:space="preserve">, </w:t>
            </w:r>
            <w:r>
              <w:rPr>
                <w:rFonts w:ascii="Consolas" w:hAnsi="Consolas"/>
                <w:b w:val="0"/>
                <w:i w:val="0"/>
                <w:color w:val="8B1A3A"/>
                <w:sz w:val="15"/>
              </w:rPr>
              <w:t>.md</w:t>
            </w:r>
            <w:r>
              <w:rPr>
                <w:b w:val="0"/>
                <w:i w:val="0"/>
                <w:sz w:val="16"/>
              </w:rPr>
              <w:t xml:space="preserve">, </w:t>
            </w:r>
            <w:r>
              <w:rPr>
                <w:rFonts w:ascii="Consolas" w:hAnsi="Consolas"/>
                <w:b w:val="0"/>
                <w:i w:val="0"/>
                <w:color w:val="8B1A3A"/>
                <w:sz w:val="15"/>
              </w:rPr>
              <w:t>.png</w:t>
            </w:r>
            <w:r>
              <w:rPr>
                <w:b w:val="0"/>
                <w:i w:val="0"/>
                <w:sz w:val="16"/>
              </w:rPr>
              <w:t xml:space="preserve"> e </w:t>
            </w:r>
            <w:r>
              <w:rPr>
                <w:rFonts w:ascii="Consolas" w:hAnsi="Consolas"/>
                <w:b w:val="0"/>
                <w:i w:val="0"/>
                <w:color w:val="8B1A3A"/>
                <w:sz w:val="15"/>
              </w:rPr>
              <w:t>.svg</w:t>
            </w:r>
          </w:p>
        </w:tc>
        <w:tc>
          <w:tcPr>
            <w:tcW w:type="dxa" w:w="1474"/>
          </w:tcPr>
          <w:p>
            <w:pPr>
              <w:spacing w:after="0" w:line="240" w:lineRule="auto"/>
              <w:jc w:val="left"/>
            </w:pPr>
            <w:r/>
            <w:r>
              <w:rPr>
                <w:b w:val="0"/>
                <w:i w:val="0"/>
                <w:sz w:val="16"/>
              </w:rPr>
              <w:t>22/09 a 28/09/2026</w:t>
            </w:r>
          </w:p>
        </w:tc>
      </w:tr>
      <w:tr>
        <w:tc>
          <w:tcPr>
            <w:tcW w:type="dxa" w:w="2041"/>
          </w:tcPr>
          <w:p>
            <w:pPr>
              <w:spacing w:after="0" w:line="240" w:lineRule="auto"/>
              <w:jc w:val="left"/>
            </w:pPr>
            <w:r/>
            <w:r>
              <w:rPr>
                <w:b w:val="0"/>
                <w:i w:val="0"/>
                <w:sz w:val="16"/>
              </w:rPr>
              <w:t>3 — Padrões e justificativas</w:t>
            </w:r>
          </w:p>
        </w:tc>
        <w:tc>
          <w:tcPr>
            <w:tcW w:type="dxa" w:w="907"/>
          </w:tcPr>
          <w:p>
            <w:pPr>
              <w:spacing w:after="0" w:line="240" w:lineRule="auto"/>
              <w:jc w:val="left"/>
            </w:pPr>
            <w:r/>
            <w:r>
              <w:rPr>
                <w:b w:val="0"/>
                <w:i w:val="0"/>
                <w:sz w:val="16"/>
              </w:rPr>
              <w:t>3</w:t>
            </w:r>
          </w:p>
        </w:tc>
        <w:tc>
          <w:tcPr>
            <w:tcW w:type="dxa" w:w="2041"/>
          </w:tcPr>
          <w:p>
            <w:pPr>
              <w:spacing w:after="0" w:line="240" w:lineRule="auto"/>
              <w:jc w:val="left"/>
            </w:pPr>
            <w:r/>
            <w:r>
              <w:rPr>
                <w:b w:val="0"/>
                <w:i w:val="0"/>
                <w:sz w:val="16"/>
              </w:rPr>
              <w:t>André Luiz dos Santos Flores</w:t>
            </w:r>
          </w:p>
        </w:tc>
        <w:tc>
          <w:tcPr>
            <w:tcW w:type="dxa" w:w="680"/>
          </w:tcPr>
          <w:p>
            <w:pPr>
              <w:spacing w:after="0" w:line="240" w:lineRule="auto"/>
              <w:jc w:val="left"/>
            </w:pPr>
            <w:r/>
            <w:r>
              <w:rPr>
                <w:b w:val="0"/>
                <w:i w:val="0"/>
                <w:sz w:val="16"/>
              </w:rPr>
              <w:t>554952</w:t>
            </w:r>
          </w:p>
        </w:tc>
        <w:tc>
          <w:tcPr>
            <w:tcW w:type="dxa" w:w="2494"/>
          </w:tcPr>
          <w:p>
            <w:pPr>
              <w:spacing w:after="0" w:line="240" w:lineRule="auto"/>
              <w:jc w:val="left"/>
            </w:pPr>
            <w:r/>
            <w:r>
              <w:rPr>
                <w:rFonts w:ascii="Consolas" w:hAnsi="Consolas"/>
                <w:b w:val="0"/>
                <w:i w:val="0"/>
                <w:color w:val="8B1A3A"/>
                <w:sz w:val="15"/>
              </w:rPr>
              <w:t>P3_padroes.md</w:t>
            </w:r>
          </w:p>
        </w:tc>
        <w:tc>
          <w:tcPr>
            <w:tcW w:type="dxa" w:w="1474"/>
          </w:tcPr>
          <w:p>
            <w:pPr>
              <w:spacing w:after="0" w:line="240" w:lineRule="auto"/>
              <w:jc w:val="left"/>
            </w:pPr>
            <w:r/>
            <w:r>
              <w:rPr>
                <w:b w:val="0"/>
                <w:i w:val="0"/>
                <w:sz w:val="16"/>
              </w:rPr>
              <w:t>22/09 a 30/09/2026</w:t>
            </w:r>
          </w:p>
        </w:tc>
      </w:tr>
      <w:tr>
        <w:tc>
          <w:tcPr>
            <w:tcW w:type="dxa" w:w="2041"/>
          </w:tcPr>
          <w:p>
            <w:pPr>
              <w:spacing w:after="0" w:line="240" w:lineRule="auto"/>
              <w:jc w:val="left"/>
            </w:pPr>
            <w:r/>
            <w:r>
              <w:rPr>
                <w:b w:val="0"/>
                <w:i w:val="0"/>
                <w:sz w:val="16"/>
              </w:rPr>
              <w:t>4 — Integração entre serviços</w:t>
            </w:r>
          </w:p>
        </w:tc>
        <w:tc>
          <w:tcPr>
            <w:tcW w:type="dxa" w:w="907"/>
          </w:tcPr>
          <w:p>
            <w:pPr>
              <w:spacing w:after="0" w:line="240" w:lineRule="auto"/>
              <w:jc w:val="left"/>
            </w:pPr>
            <w:r/>
            <w:r>
              <w:rPr>
                <w:b w:val="0"/>
                <w:i w:val="0"/>
                <w:sz w:val="16"/>
              </w:rPr>
              <w:t>4</w:t>
            </w:r>
          </w:p>
        </w:tc>
        <w:tc>
          <w:tcPr>
            <w:tcW w:type="dxa" w:w="2041"/>
          </w:tcPr>
          <w:p>
            <w:pPr>
              <w:spacing w:after="0" w:line="240" w:lineRule="auto"/>
              <w:jc w:val="left"/>
            </w:pPr>
            <w:r/>
            <w:r>
              <w:rPr>
                <w:b w:val="0"/>
                <w:i w:val="0"/>
                <w:sz w:val="16"/>
              </w:rPr>
              <w:t>Arthur Cei Corrêa</w:t>
            </w:r>
          </w:p>
        </w:tc>
        <w:tc>
          <w:tcPr>
            <w:tcW w:type="dxa" w:w="680"/>
          </w:tcPr>
          <w:p>
            <w:pPr>
              <w:spacing w:after="0" w:line="240" w:lineRule="auto"/>
              <w:jc w:val="left"/>
            </w:pPr>
            <w:r/>
            <w:r>
              <w:rPr>
                <w:b w:val="0"/>
                <w:i w:val="0"/>
                <w:sz w:val="16"/>
              </w:rPr>
              <w:t>97781</w:t>
            </w:r>
          </w:p>
        </w:tc>
        <w:tc>
          <w:tcPr>
            <w:tcW w:type="dxa" w:w="2494"/>
          </w:tcPr>
          <w:p>
            <w:pPr>
              <w:spacing w:after="0" w:line="240" w:lineRule="auto"/>
              <w:jc w:val="left"/>
            </w:pPr>
            <w:r/>
            <w:r>
              <w:rPr>
                <w:rFonts w:ascii="Consolas" w:hAnsi="Consolas"/>
                <w:b w:val="0"/>
                <w:i w:val="0"/>
                <w:color w:val="8B1A3A"/>
                <w:sz w:val="15"/>
              </w:rPr>
              <w:t>P4_integracao.md</w:t>
            </w:r>
          </w:p>
        </w:tc>
        <w:tc>
          <w:tcPr>
            <w:tcW w:type="dxa" w:w="1474"/>
          </w:tcPr>
          <w:p>
            <w:pPr>
              <w:spacing w:after="0" w:line="240" w:lineRule="auto"/>
              <w:jc w:val="left"/>
            </w:pPr>
            <w:r/>
            <w:r>
              <w:rPr>
                <w:b w:val="0"/>
                <w:i w:val="0"/>
                <w:sz w:val="16"/>
              </w:rPr>
              <w:t>29/09 a 05/10/2026</w:t>
            </w:r>
          </w:p>
        </w:tc>
      </w:tr>
      <w:tr>
        <w:tc>
          <w:tcPr>
            <w:tcW w:type="dxa" w:w="2041"/>
          </w:tcPr>
          <w:p>
            <w:pPr>
              <w:spacing w:after="0" w:line="240" w:lineRule="auto"/>
              <w:jc w:val="left"/>
            </w:pPr>
            <w:r/>
            <w:r>
              <w:rPr>
                <w:b w:val="0"/>
                <w:i w:val="0"/>
                <w:sz w:val="16"/>
              </w:rPr>
              <w:t>5 — Segurança e governança (Parte 1)</w:t>
            </w:r>
          </w:p>
        </w:tc>
        <w:tc>
          <w:tcPr>
            <w:tcW w:type="dxa" w:w="907"/>
          </w:tcPr>
          <w:p>
            <w:pPr>
              <w:spacing w:after="0" w:line="240" w:lineRule="auto"/>
              <w:jc w:val="left"/>
            </w:pPr>
            <w:r/>
            <w:r>
              <w:rPr>
                <w:b w:val="0"/>
                <w:i w:val="0"/>
                <w:sz w:val="16"/>
              </w:rPr>
              <w:t>5</w:t>
            </w:r>
          </w:p>
        </w:tc>
        <w:tc>
          <w:tcPr>
            <w:tcW w:type="dxa" w:w="2041"/>
          </w:tcPr>
          <w:p>
            <w:pPr>
              <w:spacing w:after="0" w:line="240" w:lineRule="auto"/>
              <w:jc w:val="left"/>
            </w:pPr>
            <w:r/>
            <w:r>
              <w:rPr>
                <w:b w:val="0"/>
                <w:i w:val="0"/>
                <w:sz w:val="16"/>
              </w:rPr>
              <w:t>Yasmin Kimura</w:t>
            </w:r>
          </w:p>
        </w:tc>
        <w:tc>
          <w:tcPr>
            <w:tcW w:type="dxa" w:w="680"/>
          </w:tcPr>
          <w:p>
            <w:pPr>
              <w:spacing w:after="0" w:line="240" w:lineRule="auto"/>
              <w:jc w:val="left"/>
            </w:pPr>
            <w:r/>
            <w:r>
              <w:rPr>
                <w:b w:val="0"/>
                <w:i w:val="0"/>
                <w:sz w:val="16"/>
              </w:rPr>
              <w:t>557413</w:t>
            </w:r>
          </w:p>
        </w:tc>
        <w:tc>
          <w:tcPr>
            <w:tcW w:type="dxa" w:w="2494"/>
          </w:tcPr>
          <w:p>
            <w:pPr>
              <w:spacing w:after="0" w:line="240" w:lineRule="auto"/>
              <w:jc w:val="left"/>
            </w:pPr>
            <w:r/>
            <w:r>
              <w:rPr>
                <w:rFonts w:ascii="Consolas" w:hAnsi="Consolas"/>
                <w:b w:val="0"/>
                <w:i w:val="0"/>
                <w:color w:val="8B1A3A"/>
                <w:sz w:val="15"/>
              </w:rPr>
              <w:t>P5_seguranca_governanca.md</w:t>
            </w:r>
            <w:r>
              <w:rPr>
                <w:b w:val="0"/>
                <w:i w:val="0"/>
                <w:sz w:val="16"/>
              </w:rPr>
              <w:t xml:space="preserve"> + </w:t>
            </w:r>
            <w:r>
              <w:rPr>
                <w:rFonts w:ascii="Consolas" w:hAnsi="Consolas"/>
                <w:b w:val="0"/>
                <w:i w:val="0"/>
                <w:color w:val="8B1A3A"/>
                <w:sz w:val="15"/>
              </w:rPr>
              <w:t>adr/</w:t>
            </w:r>
          </w:p>
        </w:tc>
        <w:tc>
          <w:tcPr>
            <w:tcW w:type="dxa" w:w="1474"/>
          </w:tcPr>
          <w:p>
            <w:pPr>
              <w:spacing w:after="0" w:line="240" w:lineRule="auto"/>
              <w:jc w:val="left"/>
            </w:pPr>
            <w:r/>
            <w:r>
              <w:rPr>
                <w:b w:val="0"/>
                <w:i w:val="0"/>
                <w:sz w:val="16"/>
              </w:rPr>
              <w:t>16/09 a 24/09/2026</w:t>
            </w:r>
          </w:p>
        </w:tc>
      </w:tr>
      <w:tr>
        <w:tc>
          <w:tcPr>
            <w:tcW w:type="dxa" w:w="2041"/>
          </w:tcPr>
          <w:p>
            <w:pPr>
              <w:spacing w:after="0" w:line="240" w:lineRule="auto"/>
              <w:jc w:val="left"/>
            </w:pPr>
            <w:r/>
            <w:r>
              <w:rPr>
                <w:b w:val="0"/>
                <w:i w:val="0"/>
                <w:sz w:val="16"/>
              </w:rPr>
              <w:t>5 — Consolidação do documento (Parte 2)</w:t>
            </w:r>
          </w:p>
        </w:tc>
        <w:tc>
          <w:tcPr>
            <w:tcW w:type="dxa" w:w="907"/>
          </w:tcPr>
          <w:p>
            <w:pPr>
              <w:spacing w:after="0" w:line="240" w:lineRule="auto"/>
              <w:jc w:val="left"/>
            </w:pPr>
            <w:r/>
            <w:r>
              <w:rPr>
                <w:b w:val="0"/>
                <w:i w:val="0"/>
                <w:sz w:val="16"/>
              </w:rPr>
              <w:t>capa, sumário e apêndices</w:t>
            </w:r>
          </w:p>
        </w:tc>
        <w:tc>
          <w:tcPr>
            <w:tcW w:type="dxa" w:w="2041"/>
          </w:tcPr>
          <w:p>
            <w:pPr>
              <w:spacing w:after="0" w:line="240" w:lineRule="auto"/>
              <w:jc w:val="left"/>
            </w:pPr>
            <w:r/>
            <w:r>
              <w:rPr>
                <w:b w:val="0"/>
                <w:i w:val="0"/>
                <w:sz w:val="16"/>
              </w:rPr>
              <w:t>Yasmin Kimura</w:t>
            </w:r>
          </w:p>
        </w:tc>
        <w:tc>
          <w:tcPr>
            <w:tcW w:type="dxa" w:w="680"/>
          </w:tcPr>
          <w:p>
            <w:pPr>
              <w:spacing w:after="0" w:line="240" w:lineRule="auto"/>
              <w:jc w:val="left"/>
            </w:pPr>
            <w:r/>
            <w:r>
              <w:rPr>
                <w:b w:val="0"/>
                <w:i w:val="0"/>
                <w:sz w:val="16"/>
              </w:rPr>
              <w:t>557413</w:t>
            </w:r>
          </w:p>
        </w:tc>
        <w:tc>
          <w:tcPr>
            <w:tcW w:type="dxa" w:w="2494"/>
          </w:tcPr>
          <w:p>
            <w:pPr>
              <w:spacing w:after="0" w:line="240" w:lineRule="auto"/>
              <w:jc w:val="left"/>
            </w:pPr>
            <w:r/>
            <w:r>
              <w:rPr>
                <w:b w:val="0"/>
                <w:i w:val="0"/>
                <w:sz w:val="16"/>
              </w:rPr>
              <w:t xml:space="preserve">este arquivo </w:t>
            </w:r>
            <w:r>
              <w:rPr>
                <w:rFonts w:ascii="Consolas" w:hAnsi="Consolas"/>
                <w:b w:val="0"/>
                <w:i w:val="0"/>
                <w:color w:val="8B1A3A"/>
                <w:sz w:val="15"/>
              </w:rPr>
              <w:t>.docx</w:t>
            </w:r>
          </w:p>
        </w:tc>
        <w:tc>
          <w:tcPr>
            <w:tcW w:type="dxa" w:w="1474"/>
          </w:tcPr>
          <w:p>
            <w:pPr>
              <w:spacing w:after="0" w:line="240" w:lineRule="auto"/>
              <w:jc w:val="left"/>
            </w:pPr>
            <w:r/>
            <w:r>
              <w:rPr>
                <w:b w:val="0"/>
                <w:i w:val="0"/>
                <w:sz w:val="16"/>
              </w:rPr>
              <w:t>06/10 a 13/10/2026 (previsto)</w:t>
            </w:r>
          </w:p>
        </w:tc>
      </w:tr>
    </w:tbl>
    <w:p>
      <w:r>
        <w:rPr>
          <w:b w:val="0"/>
          <w:i w:val="0"/>
          <w:sz w:val="22"/>
        </w:rPr>
        <w:t>A revisão cruzada — cada integrante revisando a seção de outro — é a etapa seguinte do cronograma, prevista para 11/10 a 13/10/2026, antes do fechamento da versão final e do envio.</w:t>
      </w:r>
    </w:p>
    <w:p>
      <w:pPr>
        <w:pStyle w:val="Heading1"/>
      </w:pPr>
      <w:r>
        <w:rPr>
          <w:b w:val="0"/>
          <w:i w:val="0"/>
          <w:sz w:val="22"/>
        </w:rPr>
        <w:t>Apêndice B — Registro de revisão consolidado</w:t>
      </w:r>
    </w:p>
    <w:p>
      <w:r>
        <w:rPr>
          <w:b w:val="0"/>
          <w:i w:val="0"/>
          <w:sz w:val="22"/>
        </w:rPr>
        <w:t xml:space="preserve">Os registros abaixo são reproduzidos do material de origem de cada seção. Neles, as referências a </w:t>
      </w:r>
      <w:r>
        <w:rPr>
          <w:rFonts w:ascii="Consolas" w:hAnsi="Consolas"/>
          <w:b w:val="0"/>
          <w:i w:val="0"/>
          <w:color w:val="8B1A3A"/>
          <w:sz w:val="21"/>
        </w:rPr>
        <w:t>P1</w:t>
      </w:r>
      <w:r>
        <w:rPr>
          <w:b w:val="0"/>
          <w:i w:val="0"/>
          <w:sz w:val="22"/>
        </w:rPr>
        <w:t xml:space="preserve"> a </w:t>
      </w:r>
      <w:r>
        <w:rPr>
          <w:rFonts w:ascii="Consolas" w:hAnsi="Consolas"/>
          <w:b w:val="0"/>
          <w:i w:val="0"/>
          <w:color w:val="8B1A3A"/>
          <w:sz w:val="21"/>
        </w:rPr>
        <w:t>P5</w:t>
      </w:r>
      <w:r>
        <w:rPr>
          <w:b w:val="0"/>
          <w:i w:val="0"/>
          <w:sz w:val="22"/>
        </w:rPr>
        <w:t xml:space="preserve"> correspondem às seções 1 a 5 deste documento, e as remissões internas citadas seguem a numeração do arquivo de origem, não a deste documento.</w:t>
      </w:r>
    </w:p>
    <w:p>
      <w:pPr>
        <w:pStyle w:val="Heading2"/>
      </w:pPr>
      <w:r>
        <w:rPr>
          <w:b w:val="0"/>
          <w:i w:val="0"/>
          <w:sz w:val="22"/>
        </w:rPr>
        <w:t>Seção 1 — Identificação dos Microsserviços e Fronteiras de Domínio</w:t>
      </w:r>
    </w:p>
    <w:p>
      <w:pPr>
        <w:pStyle w:val="Heading3"/>
      </w:pPr>
      <w:r>
        <w:rPr>
          <w:b w:val="0"/>
          <w:i w:val="0"/>
          <w:sz w:val="22"/>
        </w:rPr>
        <w:t>Registro de revisão</w:t>
      </w:r>
    </w:p>
    <w:p>
      <w:pPr>
        <w:pStyle w:val="ListBullet"/>
      </w:pPr>
      <w:r>
        <w:rPr>
          <w:b/>
          <w:i w:val="0"/>
          <w:sz w:val="22"/>
        </w:rPr>
        <w:t>v1.0 (21/09/2026)</w:t>
      </w:r>
      <w:r>
        <w:rPr>
          <w:b w:val="0"/>
          <w:i w:val="0"/>
          <w:sz w:val="22"/>
        </w:rPr>
        <w:t xml:space="preserve"> — conteúdo original do item 1, entregue em PDF (Roger Viana Gonçalves de Alencar).</w:t>
      </w:r>
    </w:p>
    <w:p>
      <w:pPr>
        <w:pStyle w:val="ListBullet"/>
      </w:pPr>
      <w:r>
        <w:rPr>
          <w:b/>
          <w:i w:val="0"/>
          <w:sz w:val="22"/>
        </w:rPr>
        <w:t>v1.1 (22/09/2026)</w:t>
      </w:r>
      <w:r>
        <w:rPr>
          <w:b w:val="0"/>
          <w:i w:val="0"/>
          <w:sz w:val="22"/>
        </w:rPr>
        <w:t xml:space="preserve"> — revisão de consolidação (Yasmin Kimura, Pessoa 5): reconciliação com a lista de partida, definição de posse de </w:t>
      </w:r>
      <w:r>
        <w:rPr>
          <w:rFonts w:ascii="Consolas" w:hAnsi="Consolas"/>
          <w:b w:val="0"/>
          <w:i w:val="0"/>
          <w:color w:val="8B1A3A"/>
          <w:sz w:val="21"/>
        </w:rPr>
        <w:t>Safra</w:t>
      </w:r>
      <w:r>
        <w:rPr>
          <w:b w:val="0"/>
          <w:i w:val="0"/>
          <w:sz w:val="22"/>
        </w:rPr>
        <w:t xml:space="preserve"> e de </w:t>
      </w:r>
      <w:r>
        <w:rPr>
          <w:rFonts w:ascii="Consolas" w:hAnsi="Consolas"/>
          <w:b w:val="0"/>
          <w:i w:val="0"/>
          <w:color w:val="8B1A3A"/>
          <w:sz w:val="21"/>
        </w:rPr>
        <w:t>MovimentacaoEstoque</w:t>
      </w:r>
      <w:r>
        <w:rPr>
          <w:b w:val="0"/>
          <w:i w:val="0"/>
          <w:sz w:val="22"/>
        </w:rPr>
        <w:t xml:space="preserve">, quem escreve o movimento de entrada do recebimento, fronteiras justificadas para </w:t>
      </w:r>
      <w:r>
        <w:rPr>
          <w:rFonts w:ascii="Consolas" w:hAnsi="Consolas"/>
          <w:b w:val="0"/>
          <w:i w:val="0"/>
          <w:color w:val="8B1A3A"/>
          <w:sz w:val="21"/>
        </w:rPr>
        <w:t>ms-clientes</w:t>
      </w:r>
      <w:r>
        <w:rPr>
          <w:b w:val="0"/>
          <w:i w:val="0"/>
          <w:sz w:val="22"/>
        </w:rPr>
        <w:t xml:space="preserve">, </w:t>
      </w:r>
      <w:r>
        <w:rPr>
          <w:rFonts w:ascii="Consolas" w:hAnsi="Consolas"/>
          <w:b w:val="0"/>
          <w:i w:val="0"/>
          <w:color w:val="8B1A3A"/>
          <w:sz w:val="21"/>
        </w:rPr>
        <w:t>ms-fornecedores</w:t>
      </w:r>
      <w:r>
        <w:rPr>
          <w:b w:val="0"/>
          <w:i w:val="0"/>
          <w:sz w:val="22"/>
        </w:rPr>
        <w:t xml:space="preserve"> e </w:t>
      </w:r>
      <w:r>
        <w:rPr>
          <w:rFonts w:ascii="Consolas" w:hAnsi="Consolas"/>
          <w:b w:val="0"/>
          <w:i w:val="0"/>
          <w:color w:val="8B1A3A"/>
          <w:sz w:val="21"/>
        </w:rPr>
        <w:t>ms-analytics</w:t>
      </w:r>
      <w:r>
        <w:rPr>
          <w:b w:val="0"/>
          <w:i w:val="0"/>
          <w:sz w:val="22"/>
        </w:rPr>
        <w:t xml:space="preserve">, caminhos completos dos arquivos do repositório e conversão para </w:t>
      </w:r>
      <w:r>
        <w:rPr>
          <w:rFonts w:ascii="Consolas" w:hAnsi="Consolas"/>
          <w:b w:val="0"/>
          <w:i w:val="0"/>
          <w:color w:val="8B1A3A"/>
          <w:sz w:val="21"/>
        </w:rPr>
        <w:t>P1_servicos.md</w:t>
      </w:r>
      <w:r>
        <w:rPr>
          <w:b w:val="0"/>
          <w:i w:val="0"/>
          <w:sz w:val="22"/>
        </w:rPr>
        <w:t>.</w:t>
      </w:r>
    </w:p>
    <w:p>
      <w:pPr>
        <w:pStyle w:val="Heading2"/>
      </w:pPr>
      <w:r>
        <w:rPr>
          <w:b w:val="0"/>
          <w:i w:val="0"/>
          <w:sz w:val="22"/>
        </w:rPr>
        <w:t>Seção 2 — Diagrama de Arquitetura</w:t>
      </w:r>
    </w:p>
    <w:p>
      <w:pPr>
        <w:pStyle w:val="Heading3"/>
      </w:pPr>
      <w:r>
        <w:rPr>
          <w:b w:val="0"/>
          <w:i w:val="0"/>
          <w:sz w:val="22"/>
        </w:rPr>
        <w:t>Registro de revisão</w:t>
      </w:r>
    </w:p>
    <w:p>
      <w:pPr>
        <w:pStyle w:val="ListBullet"/>
      </w:pPr>
      <w:r>
        <w:rPr>
          <w:b/>
          <w:i w:val="0"/>
          <w:sz w:val="22"/>
        </w:rPr>
        <w:t>v1.0 (29/09/2026)</w:t>
      </w:r>
      <w:r>
        <w:rPr>
          <w:b w:val="0"/>
          <w:i w:val="0"/>
          <w:sz w:val="22"/>
        </w:rPr>
        <w:t xml:space="preserve"> — diagrama, legenda e texto do item 2 (Kevin Benevides, branch </w:t>
      </w:r>
      <w:r>
        <w:rPr>
          <w:rFonts w:ascii="Consolas" w:hAnsi="Consolas"/>
          <w:b w:val="0"/>
          <w:i w:val="0"/>
          <w:color w:val="8B1A3A"/>
          <w:sz w:val="21"/>
        </w:rPr>
        <w:t>docs/fase6-p2-arquitetura</w:t>
      </w:r>
      <w:r>
        <w:rPr>
          <w:b w:val="0"/>
          <w:i w:val="0"/>
          <w:sz w:val="22"/>
        </w:rPr>
        <w:t>, PR #3).</w:t>
      </w:r>
    </w:p>
    <w:p>
      <w:pPr>
        <w:pStyle w:val="ListBullet"/>
      </w:pPr>
      <w:r>
        <w:rPr>
          <w:b/>
          <w:i w:val="0"/>
          <w:sz w:val="22"/>
        </w:rPr>
        <w:t>v1.1 (29/09/2026)</w:t>
      </w:r>
      <w:r>
        <w:rPr>
          <w:b w:val="0"/>
          <w:i w:val="0"/>
          <w:sz w:val="22"/>
        </w:rPr>
        <w:t xml:space="preserve"> — revisão de consolidação (Yasmin Kimura, P5): páginas de detalhe 1–3 no </w:t>
      </w:r>
      <w:r>
        <w:rPr>
          <w:rFonts w:ascii="Consolas" w:hAnsi="Consolas"/>
          <w:b w:val="0"/>
          <w:i w:val="0"/>
          <w:color w:val="8B1A3A"/>
          <w:sz w:val="21"/>
        </w:rPr>
        <w:t>.drawio</w:t>
      </w:r>
      <w:r>
        <w:rPr>
          <w:b w:val="0"/>
          <w:i w:val="0"/>
          <w:sz w:val="22"/>
        </w:rPr>
        <w:t xml:space="preserve"> e seus </w:t>
      </w:r>
      <w:r>
        <w:rPr>
          <w:rFonts w:ascii="Consolas" w:hAnsi="Consolas"/>
          <w:b w:val="0"/>
          <w:i w:val="0"/>
          <w:color w:val="8B1A3A"/>
          <w:sz w:val="21"/>
        </w:rPr>
        <w:t>.png</w:t>
      </w:r>
      <w:r>
        <w:rPr>
          <w:b w:val="0"/>
          <w:i w:val="0"/>
          <w:sz w:val="22"/>
        </w:rPr>
        <w:t>/</w:t>
      </w:r>
      <w:r>
        <w:rPr>
          <w:rFonts w:ascii="Consolas" w:hAnsi="Consolas"/>
          <w:b w:val="0"/>
          <w:i w:val="0"/>
          <w:color w:val="8B1A3A"/>
          <w:sz w:val="21"/>
        </w:rPr>
        <w:t>.svg</w:t>
      </w:r>
      <w:r>
        <w:rPr>
          <w:b w:val="0"/>
          <w:i w:val="0"/>
          <w:sz w:val="22"/>
        </w:rPr>
        <w:t xml:space="preserve"> (critério "fonte ≥ 12 no tamanho final"), medições de impressão no item 2.4, citações de caminho do repositório no item 2.1 (regra 4 do </w:t>
      </w:r>
      <w:r>
        <w:rPr>
          <w:rFonts w:ascii="Consolas" w:hAnsi="Consolas"/>
          <w:b w:val="0"/>
          <w:i w:val="0"/>
          <w:color w:val="8B1A3A"/>
          <w:sz w:val="21"/>
        </w:rPr>
        <w:t>README.md</w:t>
      </w:r>
      <w:r>
        <w:rPr>
          <w:b w:val="0"/>
          <w:i w:val="0"/>
          <w:sz w:val="22"/>
        </w:rPr>
        <w:t xml:space="preserve"> da fase) e correção do rótulo do monolito (a API .NET tem banco SQLite </w:t>
      </w:r>
      <w:r>
        <w:rPr>
          <w:b/>
          <w:i w:val="0"/>
          <w:sz w:val="22"/>
        </w:rPr>
        <w:t>próprio</w:t>
      </w:r>
      <w:r>
        <w:rPr>
          <w:b w:val="0"/>
          <w:i w:val="0"/>
          <w:sz w:val="22"/>
        </w:rPr>
        <w:t xml:space="preserve">, configurado em </w:t>
      </w:r>
      <w:r>
        <w:rPr>
          <w:rFonts w:ascii="Consolas" w:hAnsi="Consolas"/>
          <w:b w:val="0"/>
          <w:i w:val="0"/>
          <w:color w:val="8B1A3A"/>
          <w:sz w:val="21"/>
        </w:rPr>
        <w:t>appsettings.json</w:t>
      </w:r>
      <w:r>
        <w:rPr>
          <w:b w:val="0"/>
          <w:i w:val="0"/>
          <w:sz w:val="22"/>
        </w:rPr>
        <w:t xml:space="preserve">; o web JSP usa </w:t>
      </w:r>
      <w:r>
        <w:rPr>
          <w:rFonts w:ascii="Consolas" w:hAnsi="Consolas"/>
          <w:b w:val="0"/>
          <w:i w:val="0"/>
          <w:color w:val="8B1A3A"/>
          <w:sz w:val="21"/>
        </w:rPr>
        <w:t>InMemoryDatabase.java</w:t>
      </w:r>
      <w:r>
        <w:rPr>
          <w:b w:val="0"/>
          <w:i w:val="0"/>
          <w:sz w:val="22"/>
        </w:rPr>
        <w:t xml:space="preserve"> — não há banco compartilhado entre os dois).</w:t>
      </w:r>
    </w:p>
    <w:p>
      <w:pPr>
        <w:pStyle w:val="ListBullet"/>
      </w:pPr>
      <w:r>
        <w:rPr>
          <w:b/>
          <w:i w:val="0"/>
          <w:sz w:val="22"/>
        </w:rPr>
        <w:t>v1.2 (01/10/2026)</w:t>
      </w:r>
      <w:r>
        <w:rPr>
          <w:b w:val="0"/>
          <w:i w:val="0"/>
          <w:sz w:val="22"/>
        </w:rPr>
        <w:t xml:space="preserve"> — revisão de consolidação (Yasmin Kimura, P5): corrigida a contradição do item 2.5 sobre o </w:t>
      </w:r>
      <w:r>
        <w:rPr>
          <w:rFonts w:ascii="Consolas" w:hAnsi="Consolas"/>
          <w:b w:val="0"/>
          <w:i w:val="0"/>
          <w:color w:val="8B1A3A"/>
          <w:sz w:val="21"/>
        </w:rPr>
        <w:t>ms-notificacoes</w:t>
      </w:r>
      <w:r>
        <w:rPr>
          <w:b w:val="0"/>
          <w:i w:val="0"/>
          <w:sz w:val="22"/>
        </w:rPr>
        <w:t xml:space="preserve"> (ele assina </w:t>
      </w:r>
      <w:r>
        <w:rPr>
          <w:rFonts w:ascii="Consolas" w:hAnsi="Consolas"/>
          <w:b w:val="0"/>
          <w:i w:val="0"/>
          <w:color w:val="8B1A3A"/>
          <w:sz w:val="21"/>
        </w:rPr>
        <w:t>cliente.anonimizado</w:t>
      </w:r>
      <w:r>
        <w:rPr>
          <w:b w:val="0"/>
          <w:i w:val="0"/>
          <w:sz w:val="22"/>
        </w:rPr>
        <w:t xml:space="preserve">, que apenas limpa preferência de canal, e só dispara envio por </w:t>
      </w:r>
      <w:r>
        <w:rPr>
          <w:rFonts w:ascii="Consolas" w:hAnsi="Consolas"/>
          <w:b w:val="0"/>
          <w:i w:val="0"/>
          <w:color w:val="8B1A3A"/>
          <w:sz w:val="21"/>
        </w:rPr>
        <w:t>notificacao.enviar</w:t>
      </w:r>
      <w:r>
        <w:rPr>
          <w:b w:val="0"/>
          <w:i w:val="0"/>
          <w:sz w:val="22"/>
        </w:rPr>
        <w:t xml:space="preserve">); registrada a conferência cruzada com o P4 (01/10/2026), com a decisão sobre </w:t>
      </w:r>
      <w:r>
        <w:rPr>
          <w:rFonts w:ascii="Consolas" w:hAnsi="Consolas"/>
          <w:b w:val="0"/>
          <w:i w:val="0"/>
          <w:color w:val="8B1A3A"/>
          <w:sz w:val="21"/>
        </w:rPr>
        <w:t>lote.criado</w:t>
      </w:r>
      <w:r>
        <w:rPr>
          <w:b w:val="0"/>
          <w:i w:val="0"/>
          <w:sz w:val="22"/>
        </w:rPr>
        <w:t xml:space="preserve"> e a pendência de desenho das chamadas síncronas internas que a matriz do P4 lista.</w:t>
      </w:r>
    </w:p>
    <w:p>
      <w:pPr>
        <w:pStyle w:val="ListBullet"/>
      </w:pPr>
      <w:r>
        <w:rPr>
          <w:b/>
          <w:i w:val="0"/>
          <w:sz w:val="22"/>
        </w:rPr>
        <w:t>v1.3 (01/10/2026)</w:t>
      </w:r>
      <w:r>
        <w:rPr>
          <w:b w:val="0"/>
          <w:i w:val="0"/>
          <w:sz w:val="22"/>
        </w:rPr>
        <w:t xml:space="preserve"> — revisão de consolidação (Yasmin Kimura, P5): desenhadas na página 1 as três chamadas síncronas internas que faltavam (</w:t>
      </w:r>
      <w:r>
        <w:rPr>
          <w:rFonts w:ascii="Consolas" w:hAnsi="Consolas"/>
          <w:b w:val="0"/>
          <w:i w:val="0"/>
          <w:color w:val="8B1A3A"/>
          <w:sz w:val="21"/>
        </w:rPr>
        <w:t>ms-pedidos → ms-catalogo</w:t>
      </w:r>
      <w:r>
        <w:rPr>
          <w:b w:val="0"/>
          <w:i w:val="0"/>
          <w:sz w:val="22"/>
        </w:rPr>
        <w:t xml:space="preserve">, </w:t>
      </w:r>
      <w:r>
        <w:rPr>
          <w:rFonts w:ascii="Consolas" w:hAnsi="Consolas"/>
          <w:b w:val="0"/>
          <w:i w:val="0"/>
          <w:color w:val="8B1A3A"/>
          <w:sz w:val="21"/>
        </w:rPr>
        <w:t>ms-pedidos → ms-clientes</w:t>
      </w:r>
      <w:r>
        <w:rPr>
          <w:b w:val="0"/>
          <w:i w:val="0"/>
          <w:sz w:val="22"/>
        </w:rPr>
        <w:t xml:space="preserve"> e </w:t>
      </w:r>
      <w:r>
        <w:rPr>
          <w:rFonts w:ascii="Consolas" w:hAnsi="Consolas"/>
          <w:b w:val="0"/>
          <w:i w:val="0"/>
          <w:color w:val="8B1A3A"/>
          <w:sz w:val="21"/>
        </w:rPr>
        <w:t>ms-pagamentos → ms-pedidos</w:t>
      </w:r>
      <w:r>
        <w:rPr>
          <w:b w:val="0"/>
          <w:i w:val="0"/>
          <w:sz w:val="22"/>
        </w:rPr>
        <w:t xml:space="preserve">), em setas azuis contínuas com rótulo, completando as quatro relações síncronas da matriz do P4; </w:t>
      </w:r>
      <w:r>
        <w:rPr>
          <w:rFonts w:ascii="Consolas" w:hAnsi="Consolas"/>
          <w:b w:val="0"/>
          <w:i w:val="0"/>
          <w:color w:val="8B1A3A"/>
          <w:sz w:val="21"/>
        </w:rPr>
        <w:t>.png</w:t>
      </w:r>
      <w:r>
        <w:rPr>
          <w:b w:val="0"/>
          <w:i w:val="0"/>
          <w:sz w:val="22"/>
        </w:rPr>
        <w:t xml:space="preserve"> e </w:t>
      </w:r>
      <w:r>
        <w:rPr>
          <w:rFonts w:ascii="Consolas" w:hAnsi="Consolas"/>
          <w:b w:val="0"/>
          <w:i w:val="0"/>
          <w:color w:val="8B1A3A"/>
          <w:sz w:val="21"/>
        </w:rPr>
        <w:t>.svg</w:t>
      </w:r>
      <w:r>
        <w:rPr>
          <w:b w:val="0"/>
          <w:i w:val="0"/>
          <w:sz w:val="22"/>
        </w:rPr>
        <w:t xml:space="preserve"> reexportados com os mesmos parâmetros do item 2.4 (tamanho e menor fonte medidos novamente: 3992 × 3126 px e 8,6 pt, sem alteração); acrescentado o caminho do CLI do draw.io no Windows.</w:t>
      </w:r>
    </w:p>
    <w:p>
      <w:pPr>
        <w:pStyle w:val="Heading2"/>
      </w:pPr>
      <w:r>
        <w:rPr>
          <w:b w:val="0"/>
          <w:i w:val="0"/>
          <w:sz w:val="22"/>
        </w:rPr>
        <w:t>Seção 3 — Padrões de Arquitetura e Justificativas</w:t>
      </w:r>
    </w:p>
    <w:p>
      <w:pPr>
        <w:pStyle w:val="Heading3"/>
      </w:pPr>
      <w:r>
        <w:rPr>
          <w:b w:val="0"/>
          <w:i w:val="0"/>
          <w:sz w:val="22"/>
        </w:rPr>
        <w:t>Registro de revisão</w:t>
      </w:r>
    </w:p>
    <w:p>
      <w:pPr>
        <w:pStyle w:val="ListBullet"/>
      </w:pPr>
      <w:r>
        <w:rPr>
          <w:b/>
          <w:i w:val="0"/>
          <w:sz w:val="22"/>
        </w:rPr>
        <w:t>v1.0 (30/09/2026)</w:t>
      </w:r>
      <w:r>
        <w:rPr>
          <w:b w:val="0"/>
          <w:i w:val="0"/>
          <w:sz w:val="22"/>
        </w:rPr>
        <w:t xml:space="preserve"> — versão inicial do Item 3, com os quatro padrões obrigatórios e três padrões adicionais consistentes com o P1 e o P2 (André Luiz dos Santos Flores).</w:t>
      </w:r>
    </w:p>
    <w:p>
      <w:pPr>
        <w:pStyle w:val="ListBullet"/>
      </w:pPr>
      <w:r>
        <w:rPr>
          <w:b/>
          <w:i w:val="0"/>
          <w:sz w:val="22"/>
        </w:rPr>
        <w:t>v1.1 (30/09/2026)</w:t>
      </w:r>
      <w:r>
        <w:rPr>
          <w:b w:val="0"/>
          <w:i w:val="0"/>
          <w:sz w:val="22"/>
        </w:rPr>
        <w:t xml:space="preserve"> — revisão de consolidação (Yasmin Kimura, P5): Service Discovery justificado pelo ambiente-alvo (plataforma orquestrada, </w:t>
      </w:r>
      <w:r>
        <w:rPr>
          <w:rFonts w:ascii="Consolas" w:hAnsi="Consolas"/>
          <w:b w:val="0"/>
          <w:i w:val="0"/>
          <w:color w:val="8B1A3A"/>
          <w:sz w:val="21"/>
        </w:rPr>
        <w:t>Service</w:t>
      </w:r>
      <w:r>
        <w:rPr>
          <w:b w:val="0"/>
          <w:i w:val="0"/>
          <w:sz w:val="22"/>
        </w:rPr>
        <w:t xml:space="preserve"> + DNS interno) em vez de manter a tecnologia indefinida; fronteira explícita com a seção 6 do P5 na lista de padrões não incluídos, para o documento não afirmar que Circuit Breaker, Bulkhead e idempotência estão fora da arquitetura.</w:t>
      </w:r>
    </w:p>
    <w:p>
      <w:pPr>
        <w:pStyle w:val="Heading2"/>
      </w:pPr>
      <w:r>
        <w:rPr>
          <w:b w:val="0"/>
          <w:i w:val="0"/>
          <w:sz w:val="22"/>
        </w:rPr>
        <w:t>Seção 4 — Integração entre Serviços: Comunicação Síncrona x Assíncrona</w:t>
      </w:r>
    </w:p>
    <w:p>
      <w:pPr>
        <w:pStyle w:val="Heading3"/>
      </w:pPr>
      <w:r>
        <w:rPr>
          <w:b w:val="0"/>
          <w:i w:val="0"/>
          <w:sz w:val="22"/>
        </w:rPr>
        <w:t>Registro de revisão</w:t>
      </w:r>
    </w:p>
    <w:p>
      <w:pPr>
        <w:pStyle w:val="ListBullet"/>
      </w:pPr>
      <w:r>
        <w:rPr>
          <w:b/>
          <w:i w:val="0"/>
          <w:sz w:val="22"/>
        </w:rPr>
        <w:t>v1.2 (01/10/2026)</w:t>
      </w:r>
      <w:r>
        <w:rPr>
          <w:b w:val="0"/>
          <w:i w:val="0"/>
          <w:sz w:val="22"/>
        </w:rPr>
        <w:t xml:space="preserve"> — revisão editorial para alinhar cabeçalho ao padrão das demais partes e distinguir a proposta de envelope de evento de um contrato já implementado.</w:t>
      </w:r>
    </w:p>
    <w:p>
      <w:pPr>
        <w:pStyle w:val="ListBullet"/>
      </w:pPr>
      <w:r>
        <w:rPr>
          <w:b/>
          <w:i w:val="0"/>
          <w:sz w:val="22"/>
        </w:rPr>
        <w:t>v1.3 (01/10/2026)</w:t>
      </w:r>
      <w:r>
        <w:rPr>
          <w:b w:val="0"/>
          <w:i w:val="0"/>
          <w:sz w:val="22"/>
        </w:rPr>
        <w:t xml:space="preserve"> — revisão de consolidação (Yasmin Kimura, P5): conferência cruzada da matriz e do catálogo contra a página 3 do </w:t>
      </w:r>
      <w:r>
        <w:rPr>
          <w:rFonts w:ascii="Consolas" w:hAnsi="Consolas"/>
          <w:b w:val="0"/>
          <w:i w:val="0"/>
          <w:color w:val="8B1A3A"/>
          <w:sz w:val="21"/>
        </w:rPr>
        <w:t>P2_arquitetura.drawio</w:t>
      </w:r>
      <w:r>
        <w:rPr>
          <w:b w:val="0"/>
          <w:i w:val="0"/>
          <w:sz w:val="22"/>
        </w:rPr>
        <w:t xml:space="preserve">; </w:t>
      </w:r>
      <w:r>
        <w:rPr>
          <w:rFonts w:ascii="Consolas" w:hAnsi="Consolas"/>
          <w:b w:val="0"/>
          <w:i w:val="0"/>
          <w:color w:val="8B1A3A"/>
          <w:sz w:val="21"/>
        </w:rPr>
        <w:t>lote.criado</w:t>
      </w:r>
      <w:r>
        <w:rPr>
          <w:b w:val="0"/>
          <w:i w:val="0"/>
          <w:sz w:val="22"/>
        </w:rPr>
        <w:t xml:space="preserve"> alinhado ao P1 (item 1.4 — Lote, Genealogia e QR são do </w:t>
      </w:r>
      <w:r>
        <w:rPr>
          <w:rFonts w:ascii="Consolas" w:hAnsi="Consolas"/>
          <w:b w:val="0"/>
          <w:i w:val="0"/>
          <w:color w:val="8B1A3A"/>
          <w:sz w:val="21"/>
        </w:rPr>
        <w:t>ms-lotes</w:t>
      </w:r>
      <w:r>
        <w:rPr>
          <w:b w:val="0"/>
          <w:i w:val="0"/>
          <w:sz w:val="22"/>
        </w:rPr>
        <w:t xml:space="preserve">) e ao P2; </w:t>
      </w:r>
      <w:r>
        <w:rPr>
          <w:rFonts w:ascii="Consolas" w:hAnsi="Consolas"/>
          <w:b w:val="0"/>
          <w:i w:val="0"/>
          <w:color w:val="8B1A3A"/>
          <w:sz w:val="21"/>
        </w:rPr>
        <w:t>cliente.anonimizado</w:t>
      </w:r>
      <w:r>
        <w:rPr>
          <w:b w:val="0"/>
          <w:i w:val="0"/>
          <w:sz w:val="22"/>
        </w:rPr>
        <w:t xml:space="preserve"> com o consumidor </w:t>
      </w:r>
      <w:r>
        <w:rPr>
          <w:rFonts w:ascii="Consolas" w:hAnsi="Consolas"/>
          <w:b w:val="0"/>
          <w:i w:val="0"/>
          <w:color w:val="8B1A3A"/>
          <w:sz w:val="21"/>
        </w:rPr>
        <w:t>ms-pedidos</w:t>
      </w:r>
      <w:r>
        <w:rPr>
          <w:b w:val="0"/>
          <w:i w:val="0"/>
          <w:sz w:val="22"/>
        </w:rPr>
        <w:t xml:space="preserve"> restaurado; incluídas as linhas </w:t>
      </w:r>
      <w:r>
        <w:rPr>
          <w:rFonts w:ascii="Consolas" w:hAnsi="Consolas"/>
          <w:b w:val="0"/>
          <w:i w:val="0"/>
          <w:color w:val="8B1A3A"/>
          <w:sz w:val="21"/>
        </w:rPr>
        <w:t>API Gateway → monolito atual</w:t>
      </w:r>
      <w:r>
        <w:rPr>
          <w:b w:val="0"/>
          <w:i w:val="0"/>
          <w:sz w:val="22"/>
        </w:rPr>
        <w:t xml:space="preserve"> (Strangler Fig) e </w:t>
      </w:r>
      <w:r>
        <w:rPr>
          <w:rFonts w:ascii="Consolas" w:hAnsi="Consolas"/>
          <w:b w:val="0"/>
          <w:i w:val="0"/>
          <w:color w:val="8B1A3A"/>
          <w:sz w:val="21"/>
        </w:rPr>
        <w:t>ms-pedidos → ms-estoque</w:t>
      </w:r>
      <w:r>
        <w:rPr>
          <w:b w:val="0"/>
          <w:i w:val="0"/>
          <w:sz w:val="22"/>
        </w:rPr>
        <w:t xml:space="preserve">; linha de autenticação corrigida para o fluxo OIDC do P5 (a emissão de token não passa pelo gateway); caminhos de arquivo no fluxo IoT (regra 4 do </w:t>
      </w:r>
      <w:r>
        <w:rPr>
          <w:rFonts w:ascii="Consolas" w:hAnsi="Consolas"/>
          <w:b w:val="0"/>
          <w:i w:val="0"/>
          <w:color w:val="8B1A3A"/>
          <w:sz w:val="21"/>
        </w:rPr>
        <w:t>README.md</w:t>
      </w:r>
      <w:r>
        <w:rPr>
          <w:b w:val="0"/>
          <w:i w:val="0"/>
          <w:sz w:val="22"/>
        </w:rPr>
        <w:t xml:space="preserve"> da fase); nova seção 5 com a conferência dos critérios de aceite.</w:t>
      </w:r>
    </w:p>
    <w:p>
      <w:pPr>
        <w:pStyle w:val="ListBullet"/>
      </w:pPr>
      <w:r>
        <w:rPr>
          <w:b/>
          <w:i w:val="0"/>
          <w:sz w:val="22"/>
        </w:rPr>
        <w:t>v1.4 (01/10/2026)</w:t>
      </w:r>
      <w:r>
        <w:rPr>
          <w:b w:val="0"/>
          <w:i w:val="0"/>
          <w:sz w:val="22"/>
        </w:rPr>
        <w:t xml:space="preserve"> — as três chamadas síncronas internas que faltavam no desenho foram acrescentadas à página 1 do </w:t>
      </w:r>
      <w:r>
        <w:rPr>
          <w:rFonts w:ascii="Consolas" w:hAnsi="Consolas"/>
          <w:b w:val="0"/>
          <w:i w:val="0"/>
          <w:color w:val="8B1A3A"/>
          <w:sz w:val="21"/>
        </w:rPr>
        <w:t>P2_arquitetura.drawio</w:t>
      </w:r>
      <w:r>
        <w:rPr>
          <w:b w:val="0"/>
          <w:i w:val="0"/>
          <w:sz w:val="22"/>
        </w:rPr>
        <w:t xml:space="preserve"> (itens 2.1 e 2.5 do P2), então a matriz e o diagrama passam a mostrar as mesmas quatro relações síncronas entre serviços.</w:t>
      </w:r>
    </w:p>
    <w:p>
      <w:pPr>
        <w:pStyle w:val="Heading1"/>
      </w:pPr>
      <w:r>
        <w:rPr>
          <w:b w:val="0"/>
          <w:i w:val="0"/>
          <w:sz w:val="22"/>
        </w:rPr>
        <w:t>Apêndice D — Premissas adotadas e decisões registradas</w:t>
      </w:r>
    </w:p>
    <w:p>
      <w:r>
        <w:rPr>
          <w:b w:val="0"/>
          <w:i w:val="0"/>
          <w:sz w:val="22"/>
        </w:rPr>
        <w:t>As decisões abaixo foram tomadas pelo grupo durante a atividade. Não são pendências: são as escolhas que sustentam o texto das cinco seções e que devem ser revistas em conjunto, no mesmo commit, quando a decisão mudar.</w:t>
      </w:r>
    </w:p>
    <w:p>
      <w:pPr>
        <w:pStyle w:val="Heading2"/>
      </w:pPr>
      <w:r>
        <w:rPr>
          <w:b w:val="0"/>
          <w:i w:val="0"/>
          <w:sz w:val="22"/>
        </w:rPr>
        <w:t>Seção 1 — Identificação dos Microsserviços e Fronteiras de Domínio</w:t>
      </w:r>
    </w:p>
    <w:p>
      <w:r>
        <w:rPr>
          <w:b w:val="0"/>
          <w:i w:val="0"/>
          <w:sz w:val="22"/>
        </w:rPr>
        <w:t>Registrado em 22/09/2026, antes do início das partes 2 e 3, e confirmado nas revisões seguintes:</w:t>
      </w:r>
    </w:p>
    <w:p>
      <w:pPr>
        <w:pStyle w:val="ListBullet"/>
      </w:pPr>
      <w:r>
        <w:rPr>
          <w:b/>
          <w:i w:val="0"/>
          <w:sz w:val="22"/>
        </w:rPr>
        <w:t xml:space="preserve">Evento </w:t>
      </w:r>
      <w:r>
        <w:rPr>
          <w:rFonts w:ascii="Consolas" w:hAnsi="Consolas"/>
          <w:b/>
          <w:i w:val="0"/>
          <w:color w:val="8B1A3A"/>
          <w:sz w:val="21"/>
        </w:rPr>
        <w:t>recebimento.confirmado</w:t>
      </w:r>
      <w:r>
        <w:rPr>
          <w:b w:val="0"/>
          <w:i w:val="0"/>
          <w:sz w:val="22"/>
        </w:rPr>
        <w:t xml:space="preserve"> — adotado como o evento que liga o recebimento de compra (</w:t>
      </w:r>
      <w:r>
        <w:rPr>
          <w:rFonts w:ascii="Consolas" w:hAnsi="Consolas"/>
          <w:b w:val="0"/>
          <w:i w:val="0"/>
          <w:color w:val="8B1A3A"/>
          <w:sz w:val="21"/>
        </w:rPr>
        <w:t>ms-fornecedores</w:t>
      </w:r>
      <w:r>
        <w:rPr>
          <w:b w:val="0"/>
          <w:i w:val="0"/>
          <w:sz w:val="22"/>
        </w:rPr>
        <w:t xml:space="preserve">) ao </w:t>
      </w:r>
      <w:r>
        <w:rPr>
          <w:rFonts w:ascii="Consolas" w:hAnsi="Consolas"/>
          <w:b w:val="0"/>
          <w:i w:val="0"/>
          <w:color w:val="8B1A3A"/>
          <w:sz w:val="21"/>
        </w:rPr>
        <w:t>ms-estoque</w:t>
      </w:r>
      <w:r>
        <w:rPr>
          <w:b w:val="0"/>
          <w:i w:val="0"/>
          <w:sz w:val="22"/>
        </w:rPr>
        <w:t>; a seção 4 o inclui no catálogo com os mesmos produtor e consumidor. Alterar o nome exige ajustar o diagrama e o catálogo no mesmo commit.</w:t>
      </w:r>
    </w:p>
    <w:p>
      <w:pPr>
        <w:pStyle w:val="ListBullet"/>
      </w:pPr>
      <w:r>
        <w:rPr>
          <w:b/>
          <w:i w:val="0"/>
          <w:sz w:val="22"/>
        </w:rPr>
        <w:t>Serviços de núcleo</w:t>
      </w:r>
      <w:r>
        <w:rPr>
          <w:b w:val="0"/>
          <w:i w:val="0"/>
          <w:sz w:val="22"/>
        </w:rPr>
        <w:t xml:space="preserve"> — decidido manter 9 serviços de núcleo e 3 satélites, total de 12 (item 1.2). O único candidato a virar núcleo, se a contagem for revista, é extrair o carrinho do </w:t>
      </w:r>
      <w:r>
        <w:rPr>
          <w:rFonts w:ascii="Consolas" w:hAnsi="Consolas"/>
          <w:b w:val="0"/>
          <w:i w:val="0"/>
          <w:color w:val="8B1A3A"/>
          <w:sz w:val="21"/>
        </w:rPr>
        <w:t>ms-pedidos</w:t>
      </w:r>
      <w:r>
        <w:rPr>
          <w:b w:val="0"/>
          <w:i w:val="0"/>
          <w:sz w:val="22"/>
        </w:rPr>
        <w:t>, hoje descartado por ser estado efêmero do mesmo agregado.</w:t>
      </w:r>
    </w:p>
    <w:p>
      <w:pPr>
        <w:pStyle w:val="ListBullet"/>
      </w:pPr>
      <w:r>
        <w:rPr>
          <w:rFonts w:ascii="Consolas" w:hAnsi="Consolas"/>
          <w:b/>
          <w:i w:val="0"/>
          <w:color w:val="8B1A3A"/>
          <w:sz w:val="21"/>
        </w:rPr>
        <w:t>MovimentacaoEstoque</w:t>
      </w:r>
      <w:r>
        <w:rPr>
          <w:b w:val="0"/>
          <w:i w:val="0"/>
          <w:sz w:val="22"/>
        </w:rPr>
        <w:t xml:space="preserve"> — nome canônico da entidade que existe como </w:t>
      </w:r>
      <w:r>
        <w:rPr>
          <w:rFonts w:ascii="Consolas" w:hAnsi="Consolas"/>
          <w:b w:val="0"/>
          <w:i w:val="0"/>
          <w:color w:val="8B1A3A"/>
          <w:sz w:val="21"/>
        </w:rPr>
        <w:t>TransacaoEstoque.cs</w:t>
      </w:r>
      <w:r>
        <w:rPr>
          <w:b w:val="0"/>
          <w:i w:val="0"/>
          <w:sz w:val="22"/>
        </w:rPr>
        <w:t>; é o nome usado na seção 3 (Database per Service) e no diagrama.</w:t>
      </w:r>
    </w:p>
    <w:p>
      <w:pPr>
        <w:pStyle w:val="Heading2"/>
      </w:pPr>
      <w:r>
        <w:rPr>
          <w:b w:val="0"/>
          <w:i w:val="0"/>
          <w:sz w:val="22"/>
        </w:rPr>
        <w:t>Seção 2 — Diagrama de Arquitetura</w:t>
      </w:r>
    </w:p>
    <w:p>
      <w:pPr>
        <w:pStyle w:val="ListBullet"/>
      </w:pPr>
      <w:r>
        <w:rPr>
          <w:rFonts w:ascii="Consolas" w:hAnsi="Consolas"/>
          <w:b/>
          <w:i w:val="0"/>
          <w:color w:val="8B1A3A"/>
          <w:sz w:val="21"/>
        </w:rPr>
        <w:t>recebimento.confirmado</w:t>
      </w:r>
      <w:r>
        <w:rPr>
          <w:b w:val="0"/>
          <w:i w:val="0"/>
          <w:sz w:val="22"/>
        </w:rPr>
        <w:t xml:space="preserve"> — mantido no diagrama com asterisco, que ali marca apenas a origem do tópico: ele foi introduzido pela seção 1 e não constava da lista da seção 5. A seção 4 usa o mesmo nome, o mesmo produtor (</w:t>
      </w:r>
      <w:r>
        <w:rPr>
          <w:rFonts w:ascii="Consolas" w:hAnsi="Consolas"/>
          <w:b w:val="0"/>
          <w:i w:val="0"/>
          <w:color w:val="8B1A3A"/>
          <w:sz w:val="21"/>
        </w:rPr>
        <w:t>ms-fornecedores</w:t>
      </w:r>
      <w:r>
        <w:rPr>
          <w:b w:val="0"/>
          <w:i w:val="0"/>
          <w:sz w:val="22"/>
        </w:rPr>
        <w:t>) e o mesmo consumidor (</w:t>
      </w:r>
      <w:r>
        <w:rPr>
          <w:rFonts w:ascii="Consolas" w:hAnsi="Consolas"/>
          <w:b w:val="0"/>
          <w:i w:val="0"/>
          <w:color w:val="8B1A3A"/>
          <w:sz w:val="21"/>
        </w:rPr>
        <w:t>ms-estoque</w:t>
      </w:r>
      <w:r>
        <w:rPr>
          <w:b w:val="0"/>
          <w:i w:val="0"/>
          <w:sz w:val="22"/>
        </w:rPr>
        <w:t>).</w:t>
      </w:r>
    </w:p>
    <w:p>
      <w:pPr>
        <w:pStyle w:val="ListBullet"/>
      </w:pPr>
      <w:r>
        <w:rPr>
          <w:b/>
          <w:i w:val="0"/>
          <w:sz w:val="22"/>
        </w:rPr>
        <w:t>Produtores e consumidores por tópico</w:t>
      </w:r>
      <w:r>
        <w:rPr>
          <w:b w:val="0"/>
          <w:i w:val="0"/>
          <w:sz w:val="22"/>
        </w:rPr>
        <w:t xml:space="preserve"> — a tabela do item 2.3 é a decisão desta seção, e a seção 4 usa a mesma lista em "quem fala com quem". Principais escolhas: o </w:t>
      </w:r>
      <w:r>
        <w:rPr>
          <w:rFonts w:ascii="Consolas" w:hAnsi="Consolas"/>
          <w:b w:val="0"/>
          <w:i w:val="0"/>
          <w:color w:val="8B1A3A"/>
          <w:sz w:val="21"/>
        </w:rPr>
        <w:t>ms-notificacoes</w:t>
      </w:r>
      <w:r>
        <w:rPr>
          <w:b w:val="0"/>
          <w:i w:val="0"/>
          <w:sz w:val="22"/>
        </w:rPr>
        <w:t xml:space="preserve"> só dispara comunicação a partir de </w:t>
      </w:r>
      <w:r>
        <w:rPr>
          <w:rFonts w:ascii="Consolas" w:hAnsi="Consolas"/>
          <w:b w:val="0"/>
          <w:i w:val="0"/>
          <w:color w:val="8B1A3A"/>
          <w:sz w:val="21"/>
        </w:rPr>
        <w:t>notificacao.enviar</w:t>
      </w:r>
      <w:r>
        <w:rPr>
          <w:b w:val="0"/>
          <w:i w:val="0"/>
          <w:sz w:val="22"/>
        </w:rPr>
        <w:t xml:space="preserve"> (contrato de entrada único) — o </w:t>
      </w:r>
      <w:r>
        <w:rPr>
          <w:rFonts w:ascii="Consolas" w:hAnsi="Consolas"/>
          <w:b w:val="0"/>
          <w:i w:val="0"/>
          <w:color w:val="8B1A3A"/>
          <w:sz w:val="21"/>
        </w:rPr>
        <w:t>cliente.anonimizado</w:t>
      </w:r>
      <w:r>
        <w:rPr>
          <w:b w:val="0"/>
          <w:i w:val="0"/>
          <w:sz w:val="22"/>
        </w:rPr>
        <w:t xml:space="preserve"> que ele também assina serve apenas para limpar preferência de canal e não gera envio; e </w:t>
      </w:r>
      <w:r>
        <w:rPr>
          <w:rFonts w:ascii="Consolas" w:hAnsi="Consolas"/>
          <w:b w:val="0"/>
          <w:i w:val="0"/>
          <w:color w:val="8B1A3A"/>
          <w:sz w:val="21"/>
        </w:rPr>
        <w:t>qualidade.alerta</w:t>
      </w:r>
      <w:r>
        <w:rPr>
          <w:b w:val="0"/>
          <w:i w:val="0"/>
          <w:sz w:val="22"/>
        </w:rPr>
        <w:t xml:space="preserve"> vai para estoque, produção e analytics.</w:t>
      </w:r>
    </w:p>
    <w:p>
      <w:pPr>
        <w:pStyle w:val="ListBullet"/>
      </w:pPr>
      <w:r>
        <w:rPr>
          <w:b/>
          <w:i w:val="0"/>
          <w:sz w:val="22"/>
        </w:rPr>
        <w:t>Nome dos arquivos</w:t>
      </w:r>
      <w:r>
        <w:rPr>
          <w:b w:val="0"/>
          <w:i w:val="0"/>
          <w:sz w:val="22"/>
        </w:rPr>
        <w:t xml:space="preserve"> — mantido o padrão do repositório (</w:t>
      </w:r>
      <w:r>
        <w:rPr>
          <w:rFonts w:ascii="Consolas" w:hAnsi="Consolas"/>
          <w:b w:val="0"/>
          <w:i w:val="0"/>
          <w:color w:val="8B1A3A"/>
          <w:sz w:val="21"/>
        </w:rPr>
        <w:t>P2_arquitetura.*</w:t>
      </w:r>
      <w:r>
        <w:rPr>
          <w:b w:val="0"/>
          <w:i w:val="0"/>
          <w:sz w:val="22"/>
        </w:rPr>
        <w:t xml:space="preserve">), o mesmo de </w:t>
      </w:r>
      <w:r>
        <w:rPr>
          <w:rFonts w:ascii="Consolas" w:hAnsi="Consolas"/>
          <w:b w:val="0"/>
          <w:i w:val="0"/>
          <w:color w:val="8B1A3A"/>
          <w:sz w:val="21"/>
        </w:rPr>
        <w:t>P1_servicos.md</w:t>
      </w:r>
      <w:r>
        <w:rPr>
          <w:b w:val="0"/>
          <w:i w:val="0"/>
          <w:sz w:val="22"/>
        </w:rPr>
        <w:t xml:space="preserve">, </w:t>
      </w:r>
      <w:r>
        <w:rPr>
          <w:rFonts w:ascii="Consolas" w:hAnsi="Consolas"/>
          <w:b w:val="0"/>
          <w:i w:val="0"/>
          <w:color w:val="8B1A3A"/>
          <w:sz w:val="21"/>
        </w:rPr>
        <w:t>P3_padroes.md</w:t>
      </w:r>
      <w:r>
        <w:rPr>
          <w:b w:val="0"/>
          <w:i w:val="0"/>
          <w:sz w:val="22"/>
        </w:rPr>
        <w:t xml:space="preserve">, </w:t>
      </w:r>
      <w:r>
        <w:rPr>
          <w:rFonts w:ascii="Consolas" w:hAnsi="Consolas"/>
          <w:b w:val="0"/>
          <w:i w:val="0"/>
          <w:color w:val="8B1A3A"/>
          <w:sz w:val="21"/>
        </w:rPr>
        <w:t>P4_integracao.md</w:t>
      </w:r>
      <w:r>
        <w:rPr>
          <w:b w:val="0"/>
          <w:i w:val="0"/>
          <w:sz w:val="22"/>
        </w:rPr>
        <w:t xml:space="preserve"> e da tabela do </w:t>
      </w:r>
      <w:r>
        <w:rPr>
          <w:rFonts w:ascii="Consolas" w:hAnsi="Consolas"/>
          <w:b w:val="0"/>
          <w:i w:val="0"/>
          <w:color w:val="8B1A3A"/>
          <w:sz w:val="21"/>
        </w:rPr>
        <w:t>README.md</w:t>
      </w:r>
      <w:r>
        <w:rPr>
          <w:b w:val="0"/>
          <w:i w:val="0"/>
          <w:sz w:val="22"/>
        </w:rPr>
        <w:t xml:space="preserve"> desta pasta. O nome citado no card do board (</w:t>
      </w:r>
      <w:r>
        <w:rPr>
          <w:rFonts w:ascii="Consolas" w:hAnsi="Consolas"/>
          <w:b w:val="0"/>
          <w:i w:val="0"/>
          <w:color w:val="8B1A3A"/>
          <w:sz w:val="21"/>
        </w:rPr>
        <w:t>fase6_arquitetura.*</w:t>
      </w:r>
      <w:r>
        <w:rPr>
          <w:b w:val="0"/>
          <w:i w:val="0"/>
          <w:sz w:val="22"/>
        </w:rPr>
        <w:t>) não é usado, para a consolidação não ter dois nomes para o mesmo item.</w:t>
      </w:r>
    </w:p>
    <w:p>
      <w:pPr>
        <w:pStyle w:val="ListBullet"/>
      </w:pPr>
      <w:r>
        <w:rPr>
          <w:b/>
          <w:i w:val="0"/>
          <w:sz w:val="22"/>
        </w:rPr>
        <w:t>Revisão cruzada com André (seção 3) e Arthur (seção 4)</w:t>
      </w:r>
      <w:r>
        <w:rPr>
          <w:b w:val="0"/>
          <w:i w:val="0"/>
          <w:sz w:val="22"/>
        </w:rPr>
        <w:t xml:space="preserve"> — concluída em 01/10/2026: cada padrão justificado na seção 3 existe no desenho, e a tabela de tópicos da seção 4 foi conferida linha a linha contra a página 3 deste diagrama.</w:t>
      </w:r>
    </w:p>
    <w:p>
      <w:pPr>
        <w:pStyle w:val="ListBullet"/>
      </w:pPr>
      <w:r>
        <w:rPr>
          <w:rFonts w:ascii="Consolas" w:hAnsi="Consolas"/>
          <w:b/>
          <w:i w:val="0"/>
          <w:color w:val="8B1A3A"/>
          <w:sz w:val="21"/>
        </w:rPr>
        <w:t>lote.criado</w:t>
      </w:r>
      <w:r>
        <w:rPr>
          <w:b w:val="0"/>
          <w:i w:val="0"/>
          <w:sz w:val="22"/>
        </w:rPr>
        <w:t xml:space="preserve"> — produtor </w:t>
      </w:r>
      <w:r>
        <w:rPr>
          <w:rFonts w:ascii="Consolas" w:hAnsi="Consolas"/>
          <w:b w:val="0"/>
          <w:i w:val="0"/>
          <w:color w:val="8B1A3A"/>
          <w:sz w:val="21"/>
        </w:rPr>
        <w:t>ms-lotes</w:t>
      </w:r>
      <w:r>
        <w:rPr>
          <w:b w:val="0"/>
          <w:i w:val="0"/>
          <w:sz w:val="22"/>
        </w:rPr>
        <w:t xml:space="preserve"> e consumidores </w:t>
      </w:r>
      <w:r>
        <w:rPr>
          <w:rFonts w:ascii="Consolas" w:hAnsi="Consolas"/>
          <w:b w:val="0"/>
          <w:i w:val="0"/>
          <w:color w:val="8B1A3A"/>
          <w:sz w:val="21"/>
        </w:rPr>
        <w:t>ms-estoque</w:t>
      </w:r>
      <w:r>
        <w:rPr>
          <w:b w:val="0"/>
          <w:i w:val="0"/>
          <w:sz w:val="22"/>
        </w:rPr>
        <w:t xml:space="preserve">, </w:t>
      </w:r>
      <w:r>
        <w:rPr>
          <w:rFonts w:ascii="Consolas" w:hAnsi="Consolas"/>
          <w:b w:val="0"/>
          <w:i w:val="0"/>
          <w:color w:val="8B1A3A"/>
          <w:sz w:val="21"/>
        </w:rPr>
        <w:t>ms-catalogo</w:t>
      </w:r>
      <w:r>
        <w:rPr>
          <w:b w:val="0"/>
          <w:i w:val="0"/>
          <w:sz w:val="22"/>
        </w:rPr>
        <w:t xml:space="preserve"> e </w:t>
      </w:r>
      <w:r>
        <w:rPr>
          <w:rFonts w:ascii="Consolas" w:hAnsi="Consolas"/>
          <w:b w:val="0"/>
          <w:i w:val="0"/>
          <w:color w:val="8B1A3A"/>
          <w:sz w:val="21"/>
        </w:rPr>
        <w:t>ms-qualidade</w:t>
      </w:r>
      <w:r>
        <w:rPr>
          <w:b w:val="0"/>
          <w:i w:val="0"/>
          <w:sz w:val="22"/>
        </w:rPr>
        <w:t xml:space="preserve"> (mais </w:t>
      </w:r>
      <w:r>
        <w:rPr>
          <w:rFonts w:ascii="Consolas" w:hAnsi="Consolas"/>
          <w:b w:val="0"/>
          <w:i w:val="0"/>
          <w:color w:val="8B1A3A"/>
          <w:sz w:val="21"/>
        </w:rPr>
        <w:t>ms-analytics</w:t>
      </w:r>
      <w:r>
        <w:rPr>
          <w:b w:val="0"/>
          <w:i w:val="0"/>
          <w:sz w:val="22"/>
        </w:rPr>
        <w:t xml:space="preserve">, pelo rodapé da tabela), conforme a posse de Lote, Genealogia e QR na seção 1 (item 1.4). A seção 4 foi alinhada a esta linha em 01/10/2026, e o </w:t>
      </w:r>
      <w:r>
        <w:rPr>
          <w:rFonts w:ascii="Consolas" w:hAnsi="Consolas"/>
          <w:b w:val="0"/>
          <w:i w:val="0"/>
          <w:color w:val="8B1A3A"/>
          <w:sz w:val="21"/>
        </w:rPr>
        <w:t>ms-producao</w:t>
      </w:r>
      <w:r>
        <w:rPr>
          <w:b w:val="0"/>
          <w:i w:val="0"/>
          <w:sz w:val="22"/>
        </w:rPr>
        <w:t xml:space="preserve"> segue dono da safra e do ciclo produtivo.</w:t>
      </w:r>
    </w:p>
    <w:p>
      <w:pPr>
        <w:pStyle w:val="ListBullet"/>
      </w:pPr>
      <w:r>
        <w:rPr>
          <w:rFonts w:ascii="Consolas" w:hAnsi="Consolas"/>
          <w:b/>
          <w:i w:val="0"/>
          <w:color w:val="8B1A3A"/>
          <w:sz w:val="21"/>
        </w:rPr>
        <w:t>cliente.anonimizado</w:t>
      </w:r>
      <w:r>
        <w:rPr>
          <w:b w:val="0"/>
          <w:i w:val="0"/>
          <w:sz w:val="22"/>
        </w:rPr>
        <w:t xml:space="preserve"> — consumidores </w:t>
      </w:r>
      <w:r>
        <w:rPr>
          <w:rFonts w:ascii="Consolas" w:hAnsi="Consolas"/>
          <w:b w:val="0"/>
          <w:i w:val="0"/>
          <w:color w:val="8B1A3A"/>
          <w:sz w:val="21"/>
        </w:rPr>
        <w:t>ms-pedidos</w:t>
      </w:r>
      <w:r>
        <w:rPr>
          <w:b w:val="0"/>
          <w:i w:val="0"/>
          <w:sz w:val="22"/>
        </w:rPr>
        <w:t xml:space="preserve">, </w:t>
      </w:r>
      <w:r>
        <w:rPr>
          <w:rFonts w:ascii="Consolas" w:hAnsi="Consolas"/>
          <w:b w:val="0"/>
          <w:i w:val="0"/>
          <w:color w:val="8B1A3A"/>
          <w:sz w:val="21"/>
        </w:rPr>
        <w:t>ms-notificacoes</w:t>
      </w:r>
      <w:r>
        <w:rPr>
          <w:b w:val="0"/>
          <w:i w:val="0"/>
          <w:sz w:val="22"/>
        </w:rPr>
        <w:t xml:space="preserve"> e </w:t>
      </w:r>
      <w:r>
        <w:rPr>
          <w:rFonts w:ascii="Consolas" w:hAnsi="Consolas"/>
          <w:b w:val="0"/>
          <w:i w:val="0"/>
          <w:color w:val="8B1A3A"/>
          <w:sz w:val="21"/>
        </w:rPr>
        <w:t>ms-analytics</w:t>
      </w:r>
      <w:r>
        <w:rPr>
          <w:b w:val="0"/>
          <w:i w:val="0"/>
          <w:sz w:val="22"/>
        </w:rPr>
        <w:t xml:space="preserve">, como na tabela, e não só os dois últimos. No </w:t>
      </w:r>
      <w:r>
        <w:rPr>
          <w:rFonts w:ascii="Consolas" w:hAnsi="Consolas"/>
          <w:b w:val="0"/>
          <w:i w:val="0"/>
          <w:color w:val="8B1A3A"/>
          <w:sz w:val="21"/>
        </w:rPr>
        <w:t>ms-notificacoes</w:t>
      </w:r>
      <w:r>
        <w:rPr>
          <w:b w:val="0"/>
          <w:i w:val="0"/>
          <w:sz w:val="22"/>
        </w:rPr>
        <w:t xml:space="preserve"> o evento apenas limpa preferência de canal: quem dispara comunicação continua sendo </w:t>
      </w:r>
      <w:r>
        <w:rPr>
          <w:rFonts w:ascii="Consolas" w:hAnsi="Consolas"/>
          <w:b w:val="0"/>
          <w:i w:val="0"/>
          <w:color w:val="8B1A3A"/>
          <w:sz w:val="21"/>
        </w:rPr>
        <w:t>notificacao.enviar</w:t>
      </w:r>
      <w:r>
        <w:rPr>
          <w:b w:val="0"/>
          <w:i w:val="0"/>
          <w:sz w:val="22"/>
        </w:rPr>
        <w:t>.</w:t>
      </w:r>
    </w:p>
    <w:p>
      <w:pPr>
        <w:pStyle w:val="ListBullet"/>
      </w:pPr>
      <w:r>
        <w:rPr>
          <w:b/>
          <w:i w:val="0"/>
          <w:sz w:val="22"/>
        </w:rPr>
        <w:t>Chamadas síncronas internas</w:t>
      </w:r>
      <w:r>
        <w:rPr>
          <w:b w:val="0"/>
          <w:i w:val="0"/>
          <w:sz w:val="22"/>
        </w:rPr>
        <w:t xml:space="preserve"> — decididas e desenhadas em 01/10/2026: a página 1 mostra as quatro chamadas entre serviços que a matriz da seção 4 lista (</w:t>
      </w:r>
      <w:r>
        <w:rPr>
          <w:rFonts w:ascii="Consolas" w:hAnsi="Consolas"/>
          <w:b w:val="0"/>
          <w:i w:val="0"/>
          <w:color w:val="8B1A3A"/>
          <w:sz w:val="21"/>
        </w:rPr>
        <w:t>ms-pedidos → ms-estoque</w:t>
      </w:r>
      <w:r>
        <w:rPr>
          <w:b w:val="0"/>
          <w:i w:val="0"/>
          <w:sz w:val="22"/>
        </w:rPr>
        <w:t xml:space="preserve">, </w:t>
      </w:r>
      <w:r>
        <w:rPr>
          <w:rFonts w:ascii="Consolas" w:hAnsi="Consolas"/>
          <w:b w:val="0"/>
          <w:i w:val="0"/>
          <w:color w:val="8B1A3A"/>
          <w:sz w:val="21"/>
        </w:rPr>
        <w:t>ms-pedidos → ms-catalogo</w:t>
      </w:r>
      <w:r>
        <w:rPr>
          <w:b w:val="0"/>
          <w:i w:val="0"/>
          <w:sz w:val="22"/>
        </w:rPr>
        <w:t xml:space="preserve">, </w:t>
      </w:r>
      <w:r>
        <w:rPr>
          <w:rFonts w:ascii="Consolas" w:hAnsi="Consolas"/>
          <w:b w:val="0"/>
          <w:i w:val="0"/>
          <w:color w:val="8B1A3A"/>
          <w:sz w:val="21"/>
        </w:rPr>
        <w:t>ms-pedidos → ms-clientes</w:t>
      </w:r>
      <w:r>
        <w:rPr>
          <w:b w:val="0"/>
          <w:i w:val="0"/>
          <w:sz w:val="22"/>
        </w:rPr>
        <w:t xml:space="preserve"> e </w:t>
      </w:r>
      <w:r>
        <w:rPr>
          <w:rFonts w:ascii="Consolas" w:hAnsi="Consolas"/>
          <w:b w:val="0"/>
          <w:i w:val="0"/>
          <w:color w:val="8B1A3A"/>
          <w:sz w:val="21"/>
        </w:rPr>
        <w:t>ms-pagamentos → ms-pedidos</w:t>
      </w:r>
      <w:r>
        <w:rPr>
          <w:b w:val="0"/>
          <w:i w:val="0"/>
          <w:sz w:val="22"/>
        </w:rPr>
        <w:t>), em setas azuis contínuas com os rótulos "saldo (timeout 3 s)", "valida produto e preço", "valida cliente e consentimento" e "conciliação (leitura)". Os prazos de cada chamada são os da seção 5.</w:t>
      </w:r>
    </w:p>
    <w:p>
      <w:pPr>
        <w:pStyle w:val="Heading2"/>
      </w:pPr>
      <w:r>
        <w:rPr>
          <w:b w:val="0"/>
          <w:i w:val="0"/>
          <w:sz w:val="22"/>
        </w:rPr>
        <w:t>Seção 3 — Padrões de Arquitetura e Justificativas</w:t>
      </w:r>
    </w:p>
    <w:p>
      <w:pPr>
        <w:pStyle w:val="ListBullet"/>
      </w:pPr>
      <w:r>
        <w:rPr>
          <w:b/>
          <w:i w:val="0"/>
          <w:sz w:val="22"/>
        </w:rPr>
        <w:t>Saga por coreografia</w:t>
      </w:r>
      <w:r>
        <w:rPr>
          <w:b w:val="0"/>
          <w:i w:val="0"/>
          <w:sz w:val="22"/>
        </w:rPr>
        <w:t xml:space="preserve"> — adotada: o diagrama (seção 2) mostra os serviços reagindo a eventos no Kafka e não há orquestrador separado, então a coreografia é o padrão que descreve o que está desenhado. A seção 4 detalha as mensagens de cada passo e a compensação da falha de pagamento.</w:t>
      </w:r>
    </w:p>
    <w:p>
      <w:pPr>
        <w:pStyle w:val="ListBullet"/>
      </w:pPr>
      <w:r>
        <w:rPr>
          <w:b/>
          <w:i w:val="0"/>
          <w:sz w:val="22"/>
        </w:rPr>
        <w:t>Service Discovery</w:t>
      </w:r>
      <w:r>
        <w:rPr>
          <w:b w:val="0"/>
          <w:i w:val="0"/>
          <w:sz w:val="22"/>
        </w:rPr>
        <w:t xml:space="preserve"> — adotada a descoberta nativa da plataforma orquestrada (</w:t>
      </w:r>
      <w:r>
        <w:rPr>
          <w:rFonts w:ascii="Consolas" w:hAnsi="Consolas"/>
          <w:b w:val="0"/>
          <w:i w:val="0"/>
          <w:color w:val="8B1A3A"/>
          <w:sz w:val="21"/>
        </w:rPr>
        <w:t>Service</w:t>
      </w:r>
      <w:r>
        <w:rPr>
          <w:b w:val="0"/>
          <w:i w:val="0"/>
          <w:sz w:val="22"/>
        </w:rPr>
        <w:t xml:space="preserve"> + DNS interno), a mesma do ambiente descrito na seção 5. O diagrama representa o registry sem nomear tecnologia; declarar Consul ou Eureka seria uma troca de uma linha no item 1.2.</w:t>
      </w:r>
    </w:p>
    <w:p>
      <w:pPr>
        <w:pStyle w:val="ListBullet"/>
      </w:pPr>
      <w:r>
        <w:rPr>
          <w:b/>
          <w:i w:val="0"/>
          <w:sz w:val="22"/>
        </w:rPr>
        <w:t>Padrões adicionais</w:t>
      </w:r>
      <w:r>
        <w:rPr>
          <w:b w:val="0"/>
          <w:i w:val="0"/>
          <w:sz w:val="22"/>
        </w:rPr>
        <w:t xml:space="preserve"> — Outbox e CQRS só entram na seção 3 se também forem representados no diagrama, para o texto e o desenho não divergirem. Os padrões de resiliência (Circuit Breaker, Retry, Bulkhead, DLQ e idempotência) permanecem na seção 5, para o documento não repetir a mesma explicação em duas seções.</w:t>
      </w:r>
    </w:p>
    <w:p>
      <w:pPr>
        <w:pStyle w:val="Heading1"/>
      </w:pPr>
      <w:r>
        <w:rPr>
          <w:b w:val="0"/>
          <w:i w:val="0"/>
          <w:sz w:val="22"/>
        </w:rPr>
        <w:t>Apêndice C — Como regenerar as figuras</w:t>
      </w:r>
    </w:p>
    <w:p>
      <w:pPr>
        <w:pStyle w:val="Heading2"/>
      </w:pPr>
      <w:r>
        <w:rPr>
          <w:b w:val="0"/>
          <w:i w:val="0"/>
          <w:sz w:val="22"/>
        </w:rPr>
        <w:t>Exportação das páginas do diagrama</w:t>
      </w:r>
    </w:p>
    <w:p>
      <w:r>
        <w:rPr>
          <w:b w:val="0"/>
          <w:i w:val="0"/>
          <w:sz w:val="22"/>
        </w:rPr>
        <w:t xml:space="preserve">Abrir </w:t>
      </w:r>
      <w:r>
        <w:rPr>
          <w:rFonts w:ascii="Consolas" w:hAnsi="Consolas"/>
          <w:b w:val="0"/>
          <w:i w:val="0"/>
          <w:color w:val="8B1A3A"/>
          <w:sz w:val="21"/>
        </w:rPr>
        <w:t>P2_arquitetura.drawio</w:t>
      </w:r>
      <w:r>
        <w:rPr>
          <w:b w:val="0"/>
          <w:i w:val="0"/>
          <w:sz w:val="22"/>
        </w:rPr>
        <w:t xml:space="preserve"> no draw.io (desktop ou app.diagrams.net). A página 1 é a visão geral; as páginas 2 a 4 são os detalhes. No Windows o CLI é o binário </w:t>
      </w:r>
      <w:r>
        <w:rPr>
          <w:rFonts w:ascii="Consolas" w:hAnsi="Consolas"/>
          <w:b w:val="0"/>
          <w:i w:val="0"/>
          <w:color w:val="8B1A3A"/>
          <w:sz w:val="21"/>
        </w:rPr>
        <w:t>"C:\Program Files\draw.io\draw.io.exe"</w:t>
      </w:r>
      <w:r>
        <w:rPr>
          <w:b w:val="0"/>
          <w:i w:val="0"/>
          <w:sz w:val="22"/>
        </w:rPr>
        <w:t xml:space="preserve"> (é o mesmo </w:t>
      </w:r>
      <w:r>
        <w:rPr>
          <w:rFonts w:ascii="Consolas" w:hAnsi="Consolas"/>
          <w:b w:val="0"/>
          <w:i w:val="0"/>
          <w:color w:val="8B1A3A"/>
          <w:sz w:val="21"/>
        </w:rPr>
        <w:t>drawio</w:t>
      </w:r>
      <w:r>
        <w:rPr>
          <w:b w:val="0"/>
          <w:i w:val="0"/>
          <w:sz w:val="22"/>
        </w:rPr>
        <w:t xml:space="preserve"> dos exemplos abaixo). Para exportar </w:t>
      </w:r>
      <w:r>
        <w:rPr>
          <w:b/>
          <w:i w:val="0"/>
          <w:sz w:val="22"/>
        </w:rPr>
        <w:t>uma</w:t>
      </w:r>
      <w:r>
        <w:rPr>
          <w:b w:val="0"/>
          <w:i w:val="0"/>
          <w:sz w:val="22"/>
        </w:rPr>
        <w:t xml:space="preserve"> página:</w:t>
      </w:r>
    </w:p>
    <w:p>
      <w:pPr>
        <w:spacing w:after="0" w:line="240" w:lineRule="auto"/>
        <w:jc w:val="left"/>
        <w:shd w:val="clear" w:fill="F2F2F2"/>
      </w:pPr>
      <w:r>
        <w:rPr>
          <w:rFonts w:ascii="Consolas" w:hAnsi="Consolas"/>
          <w:sz w:val="17"/>
        </w:rPr>
        <w:t># PNG (a opção -p é 1-based; NÃO usar --theme: na versão 30.3.6 ela faz o CLI</w:t>
      </w:r>
    </w:p>
    <w:p>
      <w:pPr>
        <w:spacing w:after="0" w:line="240" w:lineRule="auto"/>
        <w:jc w:val="left"/>
        <w:shd w:val="clear" w:fill="F2F2F2"/>
      </w:pPr>
      <w:r>
        <w:rPr>
          <w:rFonts w:ascii="Consolas" w:hAnsi="Consolas"/>
          <w:sz w:val="17"/>
        </w:rPr>
        <w:t># responder "input file/directory not found" e não gerar arquivo)</w:t>
      </w:r>
    </w:p>
    <w:p>
      <w:pPr>
        <w:spacing w:after="0" w:line="240" w:lineRule="auto"/>
        <w:jc w:val="left"/>
        <w:shd w:val="clear" w:fill="F2F2F2"/>
      </w:pPr>
      <w:r>
        <w:rPr>
          <w:rFonts w:ascii="Consolas" w:hAnsi="Consolas"/>
          <w:sz w:val="17"/>
        </w:rPr>
        <w:t>drawio -x -f png -b 10 -s 2 -p 1 -o P2_arquitetura.png             P2_arquitetura.drawio</w:t>
      </w:r>
    </w:p>
    <w:p>
      <w:pPr>
        <w:spacing w:after="0" w:line="240" w:lineRule="auto"/>
        <w:jc w:val="left"/>
        <w:shd w:val="clear" w:fill="F2F2F2"/>
      </w:pPr>
      <w:r>
        <w:rPr>
          <w:rFonts w:ascii="Consolas" w:hAnsi="Consolas"/>
          <w:sz w:val="17"/>
        </w:rPr>
        <w:t>drawio -x -f png -b 10 -s 2 -p 2 -o P2_arquitetura_d1_servicos.png P2_arquitetura.drawio</w:t>
      </w:r>
    </w:p>
    <w:p>
      <w:pPr>
        <w:spacing w:after="0" w:line="240" w:lineRule="auto"/>
        <w:jc w:val="left"/>
        <w:shd w:val="clear" w:fill="F2F2F2"/>
      </w:pPr>
      <w:r>
        <w:rPr>
          <w:rFonts w:ascii="Consolas" w:hAnsi="Consolas"/>
          <w:sz w:val="17"/>
        </w:rPr>
        <w:t>drawio -x -f png -b 10 -s 2 -p 3 -o P2_arquitetura_d2_eventos.png  P2_arquitetura.drawio</w:t>
      </w:r>
    </w:p>
    <w:p>
      <w:pPr>
        <w:spacing w:after="0" w:line="240" w:lineRule="auto"/>
        <w:jc w:val="left"/>
        <w:shd w:val="clear" w:fill="F2F2F2"/>
      </w:pPr>
      <w:r>
        <w:rPr>
          <w:rFonts w:ascii="Consolas" w:hAnsi="Consolas"/>
          <w:sz w:val="17"/>
        </w:rPr>
        <w:t>drawio -x -f png -b 10 -s 2 -p 4 -o P2_arquitetura_d3_iot_migracao.png P2_arquitetura.drawio</w:t>
      </w:r>
    </w:p>
    <w:p>
      <w:r>
        <w:rPr>
          <w:b w:val="0"/>
          <w:i w:val="0"/>
          <w:sz w:val="22"/>
        </w:rPr>
        <w:t xml:space="preserve">&gt; </w:t>
      </w:r>
      <w:r>
        <w:rPr>
          <w:b/>
          <w:i w:val="0"/>
          <w:sz w:val="22"/>
        </w:rPr>
        <w:t>Aten\u00e7\u00e3o:</w:t>
      </w:r>
      <w:r>
        <w:rPr>
          <w:b w:val="0"/>
          <w:i w:val="0"/>
          <w:sz w:val="22"/>
        </w:rPr>
        <w:t xml:space="preserve"> a exportação direta em PNG (</w:t>
      </w:r>
      <w:r>
        <w:rPr>
          <w:rFonts w:ascii="Consolas" w:hAnsi="Consolas"/>
          <w:b w:val="0"/>
          <w:i w:val="0"/>
          <w:color w:val="8B1A3A"/>
          <w:sz w:val="21"/>
        </w:rPr>
        <w:t>-f png</w:t>
      </w:r>
      <w:r>
        <w:rPr>
          <w:b w:val="0"/>
          <w:i w:val="0"/>
          <w:sz w:val="22"/>
        </w:rPr>
        <w:t xml:space="preserve">) corta a coluna da direita do desenho: em 01/10/2026 as figuras saíram com </w:t>
      </w:r>
      <w:r>
        <w:rPr>
          <w:rFonts w:ascii="Consolas" w:hAnsi="Consolas"/>
          <w:b w:val="0"/>
          <w:i w:val="0"/>
          <w:color w:val="8B1A3A"/>
          <w:sz w:val="21"/>
        </w:rPr>
        <w:t>ms-fornecedores</w:t>
      </w:r>
      <w:r>
        <w:rPr>
          <w:b w:val="0"/>
          <w:i w:val="0"/>
          <w:sz w:val="22"/>
        </w:rPr>
        <w:t xml:space="preserve">, </w:t>
      </w:r>
      <w:r>
        <w:rPr>
          <w:rFonts w:ascii="Consolas" w:hAnsi="Consolas"/>
          <w:b w:val="0"/>
          <w:i w:val="0"/>
          <w:color w:val="8B1A3A"/>
          <w:sz w:val="21"/>
        </w:rPr>
        <w:t>ms-qualidade</w:t>
      </w:r>
      <w:r>
        <w:rPr>
          <w:b w:val="0"/>
          <w:i w:val="0"/>
          <w:sz w:val="22"/>
        </w:rPr>
        <w:t xml:space="preserve"> e a última coluna da tabela do Kafka fatiadas na borda. O caminho seguro é exportar em PDF com </w:t>
      </w:r>
      <w:r>
        <w:rPr>
          <w:rFonts w:ascii="Consolas" w:hAnsi="Consolas"/>
          <w:b w:val="0"/>
          <w:i w:val="0"/>
          <w:color w:val="8B1A3A"/>
          <w:sz w:val="21"/>
        </w:rPr>
        <w:t>--crop</w:t>
      </w:r>
      <w:r>
        <w:rPr>
          <w:b w:val="0"/>
          <w:i w:val="0"/>
          <w:sz w:val="22"/>
        </w:rPr>
        <w:t xml:space="preserve"> e rasterizar com PyMuPDF (mesmo roteiro do SVG, abaixo); as figuras entregues foram geradas assim, em 3600 px de largura.</w:t>
      </w:r>
    </w:p>
    <w:p>
      <w:r>
        <w:rPr>
          <w:b w:val="0"/>
          <w:i w:val="0"/>
          <w:sz w:val="22"/>
        </w:rPr>
        <w:t xml:space="preserve">Para o </w:t>
      </w:r>
      <w:r>
        <w:rPr>
          <w:rFonts w:ascii="Consolas" w:hAnsi="Consolas"/>
          <w:b w:val="0"/>
          <w:i w:val="0"/>
          <w:color w:val="8B1A3A"/>
          <w:sz w:val="21"/>
        </w:rPr>
        <w:t>.docx</w:t>
      </w:r>
      <w:r>
        <w:rPr>
          <w:b w:val="0"/>
          <w:i w:val="0"/>
          <w:sz w:val="22"/>
        </w:rPr>
        <w:t xml:space="preserve">, </w:t>
      </w:r>
      <w:r>
        <w:rPr>
          <w:b/>
          <w:i w:val="0"/>
          <w:sz w:val="22"/>
        </w:rPr>
        <w:t>não</w:t>
      </w:r>
      <w:r>
        <w:rPr>
          <w:b w:val="0"/>
          <w:i w:val="0"/>
          <w:sz w:val="22"/>
        </w:rPr>
        <w:t xml:space="preserve"> usar o "Exportar como SVG" padrão do draw.io: ele grava o texto em </w:t>
      </w:r>
      <w:r>
        <w:rPr>
          <w:rFonts w:ascii="Consolas" w:hAnsi="Consolas"/>
          <w:b w:val="0"/>
          <w:i w:val="0"/>
          <w:color w:val="8B1A3A"/>
          <w:sz w:val="21"/>
        </w:rPr>
        <w:t>foreignObject</w:t>
      </w:r>
      <w:r>
        <w:rPr>
          <w:b w:val="0"/>
          <w:i w:val="0"/>
          <w:sz w:val="22"/>
        </w:rPr>
        <w:t xml:space="preserve"> (HTML) — no arquivo da visão geral são 210 ocorrências —, que o Word não renderiza ("Text is not SVG - cannot display"). O SVG precisa ter o texto em curvas. O caminho com </w:t>
      </w:r>
      <w:r>
        <w:rPr>
          <w:rFonts w:ascii="Consolas" w:hAnsi="Consolas"/>
          <w:b w:val="0"/>
          <w:i w:val="0"/>
          <w:color w:val="8B1A3A"/>
          <w:sz w:val="21"/>
        </w:rPr>
        <w:t>pdftocairo</w:t>
      </w:r>
      <w:r>
        <w:rPr>
          <w:b w:val="0"/>
          <w:i w:val="0"/>
          <w:sz w:val="22"/>
        </w:rPr>
        <w:t xml:space="preserve"> (usado na primeira versão) exige poppler instalado; onde ele não está disponível, o MuPDF/PyMuPDF faz o mesmo a partir do PDF de todas as páginas:</w:t>
      </w:r>
    </w:p>
    <w:p>
      <w:pPr>
        <w:spacing w:after="0" w:line="240" w:lineRule="auto"/>
        <w:jc w:val="left"/>
        <w:shd w:val="clear" w:fill="F2F2F2"/>
      </w:pPr>
      <w:r>
        <w:rPr>
          <w:rFonts w:ascii="Consolas" w:hAnsi="Consolas"/>
          <w:sz w:val="17"/>
        </w:rPr>
        <w:t>drawio -x -f pdf --all-pages --crop -o P2_arquitetura.pdf P2_arquitetura.drawio</w:t>
      </w:r>
    </w:p>
    <w:p>
      <w:pPr>
        <w:spacing w:after="0" w:line="240" w:lineRule="auto"/>
        <w:jc w:val="left"/>
        <w:shd w:val="clear" w:fill="F2F2F2"/>
      </w:pPr>
      <w:r>
        <w:rPr>
          <w:rFonts w:ascii="Consolas" w:hAnsi="Consolas"/>
          <w:sz w:val="17"/>
        </w:rPr>
        <w:t>python -c "import fitz; d=fitz.open('P2_arquitetura.pdf'); \</w:t>
      </w:r>
    </w:p>
    <w:p>
      <w:pPr>
        <w:spacing w:after="0" w:line="240" w:lineRule="auto"/>
        <w:jc w:val="left"/>
        <w:shd w:val="clear" w:fill="F2F2F2"/>
      </w:pPr>
      <w:r>
        <w:rPr>
          <w:rFonts w:ascii="Consolas" w:hAnsi="Consolas"/>
          <w:sz w:val="17"/>
        </w:rPr>
        <w:t>[open(n,'w',encoding='utf-8').write(d[i].get_svg_image(text_as_path=True)) \</w:t>
      </w:r>
    </w:p>
    <w:p>
      <w:pPr>
        <w:spacing w:after="0" w:line="240" w:lineRule="auto"/>
        <w:jc w:val="left"/>
        <w:shd w:val="clear" w:fill="F2F2F2"/>
      </w:pPr>
      <w:r>
        <w:rPr>
          <w:rFonts w:ascii="Consolas" w:hAnsi="Consolas"/>
          <w:sz w:val="17"/>
        </w:rPr>
        <w:t xml:space="preserve"> for i,n in enumerate(['P2_arquitetura.svg','P2_arquitetura_d1_servicos.svg', \</w:t>
      </w:r>
    </w:p>
    <w:p>
      <w:pPr>
        <w:spacing w:after="0" w:line="240" w:lineRule="auto"/>
        <w:jc w:val="left"/>
        <w:shd w:val="clear" w:fill="F2F2F2"/>
      </w:pPr>
      <w:r>
        <w:rPr>
          <w:rFonts w:ascii="Consolas" w:hAnsi="Consolas"/>
          <w:sz w:val="17"/>
        </w:rPr>
        <w:t xml:space="preserve"> 'P2_arquitetura_d2_eventos.svg','P2_arquitetura_d3_iot_migracao.svg'])]"</w:t>
      </w:r>
    </w:p>
    <w:p>
      <w:pPr>
        <w:spacing w:after="0" w:line="240" w:lineRule="auto"/>
        <w:jc w:val="left"/>
        <w:shd w:val="clear" w:fill="F2F2F2"/>
      </w:pPr>
      <w:r>
        <w:rPr>
          <w:rFonts w:ascii="Consolas" w:hAnsi="Consolas"/>
          <w:sz w:val="17"/>
        </w:rPr>
        <w:t>rm P2_arquitetura.pdf</w:t>
      </w:r>
    </w:p>
    <w:p>
      <w:r>
        <w:rPr>
          <w:b w:val="0"/>
          <w:i w:val="0"/>
          <w:sz w:val="22"/>
        </w:rPr>
        <w:t xml:space="preserve">Conferência depois de reexportar: o </w:t>
      </w:r>
      <w:r>
        <w:rPr>
          <w:rFonts w:ascii="Consolas" w:hAnsi="Consolas"/>
          <w:b w:val="0"/>
          <w:i w:val="0"/>
          <w:color w:val="8B1A3A"/>
          <w:sz w:val="21"/>
        </w:rPr>
        <w:t>.svg</w:t>
      </w:r>
      <w:r>
        <w:rPr>
          <w:b w:val="0"/>
          <w:i w:val="0"/>
          <w:sz w:val="22"/>
        </w:rPr>
        <w:t xml:space="preserve"> não pode ter </w:t>
      </w:r>
      <w:r>
        <w:rPr>
          <w:rFonts w:ascii="Consolas" w:hAnsi="Consolas"/>
          <w:b w:val="0"/>
          <w:i w:val="0"/>
          <w:color w:val="8B1A3A"/>
          <w:sz w:val="21"/>
        </w:rPr>
        <w:t>foreignObject</w:t>
      </w:r>
      <w:r>
        <w:rPr>
          <w:b w:val="0"/>
          <w:i w:val="0"/>
          <w:sz w:val="22"/>
        </w:rPr>
        <w:t xml:space="preserve"> e precisa ter </w:t>
      </w:r>
      <w:r>
        <w:rPr>
          <w:rFonts w:ascii="Consolas" w:hAnsi="Consolas"/>
          <w:b w:val="0"/>
          <w:i w:val="0"/>
          <w:color w:val="8B1A3A"/>
          <w:sz w:val="21"/>
        </w:rPr>
        <w:t>viewBox</w:t>
      </w:r>
      <w:r>
        <w:rPr>
          <w:b w:val="0"/>
          <w:i w:val="0"/>
          <w:sz w:val="22"/>
        </w:rPr>
        <w:t>; abrir o arquivo no navegador e conferir que nenhum texto saiu da caixa.</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Página </w:t>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left"/>
      <w:outlineLvl w:val="0"/>
    </w:pPr>
    <w:rPr>
      <w:rFonts w:asciiTheme="majorHAnsi" w:eastAsiaTheme="majorEastAsia" w:hAnsiTheme="majorHAnsi" w:cstheme="majorBidi" w:ascii="Arial" w:hAnsi="Arial"/>
      <w:b/>
      <w:bCs/>
      <w:i w:val="0"/>
      <w:color w:val="7B1E3A"/>
      <w:sz w:val="32"/>
      <w:szCs w:val="28"/>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heme="majorHAnsi" w:eastAsiaTheme="majorEastAsia" w:hAnsiTheme="majorHAnsi" w:cstheme="majorBidi" w:ascii="Arial" w:hAnsi="Arial"/>
      <w:b/>
      <w:bCs/>
      <w:i w:val="0"/>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ascii="Arial" w:hAnsi="Arial"/>
      <w:b/>
      <w:bCs/>
      <w:i w:val="0"/>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120"/>
      <w:jc w:val="left"/>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Arial" w:hAnsi="Arial"/>
      <w:sz w:val="22"/>
    </w:rPr>
  </w:style>
  <w:style w:type="paragraph" w:styleId="ListBullet2">
    <w:name w:val="List Bullet 2"/>
    <w:basedOn w:val="Normal"/>
    <w:uiPriority w:val="99"/>
    <w:unhideWhenUsed/>
    <w:rsid w:val="00326F90"/>
    <w:pPr>
      <w:numPr>
        <w:numId w:val="2"/>
      </w:numPr>
      <w:spacing w:after="60" w:line="264" w:lineRule="auto"/>
      <w:contextualSpacing/>
    </w:pPr>
    <w:rPr>
      <w:rFonts w:ascii="Arial" w:hAnsi="Arial"/>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