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6 — Arquitetura de APIs e Microsserviços</w:t>
      </w:r>
    </w:p>
    <w:p>
      <w:pPr>
        <w:pStyle w:val="Heading2"/>
      </w:pPr>
      <w:r>
        <w:t>Item 1 — Identificação dos Microsserviços e Fronteiras de Domínio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Arquivo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Documentacao/Fase6/P1_servicos.md</w:t>
            </w:r>
            <w:r>
              <w:t xml:space="preserve"> (fonte da consolidação) + </w:t>
            </w:r>
            <w:r>
              <w:rPr>
                <w:rFonts w:ascii="Consolas" w:hAnsi="Consolas"/>
                <w:sz w:val="18"/>
              </w:rPr>
              <w:t>P1_servicos.docx</w:t>
            </w:r>
          </w:p>
        </w:tc>
      </w:tr>
      <w:tr>
        <w:tc>
          <w:tcPr>
            <w:tcW w:type="dxa" w:w="4320"/>
          </w:tcPr>
          <w:p>
            <w:r/>
            <w:r>
              <w:t>Responsável</w:t>
            </w:r>
          </w:p>
        </w:tc>
        <w:tc>
          <w:tcPr>
            <w:tcW w:type="dxa" w:w="4320"/>
          </w:tcPr>
          <w:p>
            <w:r/>
            <w:r>
              <w:t>Roger Viana Gonçalves de Alencar — RM 97540</w:t>
            </w:r>
          </w:p>
        </w:tc>
      </w:tr>
      <w:tr>
        <w:tc>
          <w:tcPr>
            <w:tcW w:type="dxa" w:w="4320"/>
          </w:tcPr>
          <w:p>
            <w:r/>
            <w:r>
              <w:t>Período</w:t>
            </w:r>
          </w:p>
        </w:tc>
        <w:tc>
          <w:tcPr>
            <w:tcW w:type="dxa" w:w="4320"/>
          </w:tcPr>
          <w:p>
            <w:r/>
            <w:r>
              <w:t>16/09/2026 → 21/09/2026 (congelamento)</w:t>
            </w:r>
          </w:p>
        </w:tc>
      </w:tr>
      <w:tr>
        <w:tc>
          <w:tcPr>
            <w:tcW w:type="dxa" w:w="4320"/>
          </w:tcPr>
          <w:p>
            <w:r/>
            <w:r>
              <w:t>Versão</w:t>
            </w:r>
          </w:p>
        </w:tc>
        <w:tc>
          <w:tcPr>
            <w:tcW w:type="dxa" w:w="4320"/>
          </w:tcPr>
          <w:p>
            <w:r/>
            <w:r>
              <w:t>1.1 — revisão de consolidação de 22/09/2026</w:t>
            </w:r>
          </w:p>
        </w:tc>
      </w:tr>
    </w:tbl>
    <w:p>
      <w:r>
        <w:t>Integrantes do grupo:</w:t>
      </w:r>
    </w:p>
    <w:p>
      <w:pPr>
        <w:pStyle w:val="ListBullet"/>
      </w:pPr>
      <w:r>
        <w:t>Kevin Benevides da Silva Romariz — RM 557898</w:t>
      </w:r>
    </w:p>
    <w:p>
      <w:pPr>
        <w:pStyle w:val="ListBullet"/>
      </w:pPr>
      <w:r>
        <w:t>Arthur Cei Corrêa — RM 97781</w:t>
      </w:r>
    </w:p>
    <w:p>
      <w:pPr>
        <w:pStyle w:val="ListBullet"/>
      </w:pPr>
      <w:r>
        <w:t>Yasmin Kimura — RM 557413</w:t>
      </w:r>
    </w:p>
    <w:p>
      <w:pPr>
        <w:pStyle w:val="ListBullet"/>
      </w:pPr>
      <w:r>
        <w:t>Roger Viana Gonçalves de Alencar — RM 97540</w:t>
      </w:r>
    </w:p>
    <w:p>
      <w:pPr>
        <w:pStyle w:val="ListBullet"/>
      </w:pPr>
      <w:r>
        <w:t>André Luiz dos Santos Flores — RM 554952</w:t>
      </w:r>
    </w:p>
    <w:p/>
    <w:p>
      <w:pPr>
        <w:pStyle w:val="Heading2"/>
      </w:pPr>
      <w:r>
        <w:t>1. Serviços candidatos a microsserviço</w:t>
      </w:r>
    </w:p>
    <w:p>
      <w:r>
        <w:t xml:space="preserve">O ponto de partida foi o que já existe no repositório do grupo: a API .NET de estoque, com as entidades </w:t>
      </w:r>
      <w:r>
        <w:rPr>
          <w:rFonts w:ascii="Consolas" w:hAnsi="Consolas"/>
          <w:sz w:val="18"/>
        </w:rPr>
        <w:t>Vinho</w:t>
      </w:r>
      <w:r>
        <w:t xml:space="preserve">, </w:t>
      </w:r>
      <w:r>
        <w:rPr>
          <w:rFonts w:ascii="Consolas" w:hAnsi="Consolas"/>
          <w:sz w:val="18"/>
        </w:rPr>
        <w:t>Lote</w:t>
      </w:r>
      <w:r>
        <w:t xml:space="preserve">, </w:t>
      </w:r>
      <w:r>
        <w:rPr>
          <w:rFonts w:ascii="Consolas" w:hAnsi="Consolas"/>
          <w:sz w:val="18"/>
        </w:rPr>
        <w:t>Fornecedor</w:t>
      </w:r>
      <w:r>
        <w:t xml:space="preserve">, </w:t>
      </w:r>
      <w:r>
        <w:rPr>
          <w:rFonts w:ascii="Consolas" w:hAnsi="Consolas"/>
          <w:sz w:val="18"/>
        </w:rPr>
        <w:t>Categoria</w:t>
      </w:r>
      <w:r>
        <w:t xml:space="preserve"> e </w:t>
      </w:r>
      <w:r>
        <w:rPr>
          <w:rFonts w:ascii="Consolas" w:hAnsi="Consolas"/>
          <w:sz w:val="18"/>
        </w:rPr>
        <w:t>TransacaoEstoque</w:t>
      </w:r>
      <w:r>
        <w:t xml:space="preserve">; o monolito em JSP/Servlet; o app Android com Room; a cadeia Arduino, MQTT e Node-RED; e o par CSV com dashboard no Tableau. A partir disso chegamos a 12 serviços: </w:t>
      </w:r>
      <w:r>
        <w:rPr>
          <w:b/>
        </w:rPr>
        <w:t>9 de núcleo</w:t>
      </w:r>
      <w:r>
        <w:t xml:space="preserve">, que cobrem a cadeia de valor da vinícola do início ao fim, e </w:t>
      </w:r>
      <w:r>
        <w:rPr>
          <w:b/>
        </w:rPr>
        <w:t>3 satélites</w:t>
      </w:r>
      <w:r>
        <w:t xml:space="preserve"> — identidade, notificações e analytics — que dão suporte a todos os domínios sem pertencer a nenhum deles em particular.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Serviço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Classificação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Responsabilidade única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Dados dos quais é dono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Quem consome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ms-catalogo</w:t>
            </w:r>
          </w:p>
        </w:tc>
        <w:tc>
          <w:tcPr>
            <w:tcW w:type="dxa" w:w="1728"/>
          </w:tcPr>
          <w:p>
            <w:r/>
            <w:r>
              <w:t>Núcleo</w:t>
            </w:r>
          </w:p>
        </w:tc>
        <w:tc>
          <w:tcPr>
            <w:tcW w:type="dxa" w:w="1728"/>
          </w:tcPr>
          <w:p>
            <w:r/>
            <w:r>
              <w:t>Expor e manter o catálogo de vinhos, categorias e fichas de harmonização para os canais de venda.</w:t>
            </w:r>
          </w:p>
        </w:tc>
        <w:tc>
          <w:tcPr>
            <w:tcW w:type="dxa" w:w="1728"/>
          </w:tcPr>
          <w:p>
            <w:r/>
            <w:r>
              <w:t>Vinho (ficha comercial, teor, mídia) · Categoria · Regra de Harmonização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ms-pedidos</w:t>
            </w:r>
            <w:r>
              <w:t xml:space="preserve"> · Web / App (canais) · </w:t>
            </w:r>
            <w:r>
              <w:rPr>
                <w:rFonts w:ascii="Consolas" w:hAnsi="Consolas"/>
                <w:sz w:val="18"/>
              </w:rPr>
              <w:t>ms-analytics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ms-producao</w:t>
            </w:r>
          </w:p>
        </w:tc>
        <w:tc>
          <w:tcPr>
            <w:tcW w:type="dxa" w:w="1728"/>
          </w:tcPr>
          <w:p>
            <w:r/>
            <w:r>
              <w:t>Núcleo</w:t>
            </w:r>
          </w:p>
        </w:tc>
        <w:tc>
          <w:tcPr>
            <w:tcW w:type="dxa" w:w="1728"/>
          </w:tcPr>
          <w:p>
            <w:r/>
            <w:r>
              <w:t>Registrar o ciclo produtivo do vinho, da colheita à fermentação e armazenagem, por safra.</w:t>
            </w:r>
          </w:p>
        </w:tc>
        <w:tc>
          <w:tcPr>
            <w:tcW w:type="dxa" w:w="1728"/>
          </w:tcPr>
          <w:p>
            <w:r/>
            <w:r>
              <w:t>Safra · Colheita · Fermentação · Armazenagem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ms-lotes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ms-qualidade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ms-analytics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ms-lotes</w:t>
            </w:r>
          </w:p>
        </w:tc>
        <w:tc>
          <w:tcPr>
            <w:tcW w:type="dxa" w:w="1728"/>
          </w:tcPr>
          <w:p>
            <w:r/>
            <w:r>
              <w:t>Núcleo</w:t>
            </w:r>
          </w:p>
        </w:tc>
        <w:tc>
          <w:tcPr>
            <w:tcW w:type="dxa" w:w="1728"/>
          </w:tcPr>
          <w:p>
            <w:r/>
            <w:r>
              <w:t>Garantir a rastreabilidade individual de cada lote, do engarrafamento ao consumidor.</w:t>
            </w:r>
          </w:p>
        </w:tc>
        <w:tc>
          <w:tcPr>
            <w:tcW w:type="dxa" w:w="1728"/>
          </w:tcPr>
          <w:p>
            <w:r/>
            <w:r>
              <w:t>Lote · Genealogia do Lote · Código de Rastreio / QR · Histórico do lote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ms-estoque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ms-catalogo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ms-qualidade</w:t>
            </w:r>
            <w:r>
              <w:t xml:space="preserve"> · App do consumidor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ms-estoque</w:t>
            </w:r>
          </w:p>
        </w:tc>
        <w:tc>
          <w:tcPr>
            <w:tcW w:type="dxa" w:w="1728"/>
          </w:tcPr>
          <w:p>
            <w:r/>
            <w:r>
              <w:t>Núcleo</w:t>
            </w:r>
          </w:p>
        </w:tc>
        <w:tc>
          <w:tcPr>
            <w:tcW w:type="dxa" w:w="1728"/>
          </w:tcPr>
          <w:p>
            <w:r/>
            <w:r>
              <w:t>Manter a posição de estoque em tempo real e registrar movimentações e reservas.</w:t>
            </w:r>
          </w:p>
        </w:tc>
        <w:tc>
          <w:tcPr>
            <w:tcW w:type="dxa" w:w="1728"/>
          </w:tcPr>
          <w:p>
            <w:r/>
            <w:r>
              <w:t>Posição de Estoque · MovimentacaoEstoque · Reserva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ms-pedidos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ms-fornecedores</w:t>
            </w:r>
            <w:r>
              <w:t xml:space="preserve"> · App mobile · </w:t>
            </w:r>
            <w:r>
              <w:rPr>
                <w:rFonts w:ascii="Consolas" w:hAnsi="Consolas"/>
                <w:sz w:val="18"/>
              </w:rPr>
              <w:t>ms-analytics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ms-pedidos</w:t>
            </w:r>
          </w:p>
        </w:tc>
        <w:tc>
          <w:tcPr>
            <w:tcW w:type="dxa" w:w="1728"/>
          </w:tcPr>
          <w:p>
            <w:r/>
            <w:r>
              <w:t>Núcleo</w:t>
            </w:r>
          </w:p>
        </w:tc>
        <w:tc>
          <w:tcPr>
            <w:tcW w:type="dxa" w:w="1728"/>
          </w:tcPr>
          <w:p>
            <w:r/>
            <w:r>
              <w:t>Orquestrar o ciclo de vida do pedido, do carrinho à confirmação de entrega.</w:t>
            </w:r>
          </w:p>
        </w:tc>
        <w:tc>
          <w:tcPr>
            <w:tcW w:type="dxa" w:w="1728"/>
          </w:tcPr>
          <w:p>
            <w:r/>
            <w:r>
              <w:t>Carrinho · Pedido · Item do Pedido · Status de Separação / Entrega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ms-pagamentos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ms-estoque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ms-notificacoes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ms-clientes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ms-fornecedores</w:t>
            </w:r>
          </w:p>
        </w:tc>
        <w:tc>
          <w:tcPr>
            <w:tcW w:type="dxa" w:w="1728"/>
          </w:tcPr>
          <w:p>
            <w:r/>
            <w:r>
              <w:t>Núcleo</w:t>
            </w:r>
          </w:p>
        </w:tc>
        <w:tc>
          <w:tcPr>
            <w:tcW w:type="dxa" w:w="1728"/>
          </w:tcPr>
          <w:p>
            <w:r/>
            <w:r>
              <w:t>Gerir o cadastro de fornecedores e o fluxo de compras e recebimento.</w:t>
            </w:r>
          </w:p>
        </w:tc>
        <w:tc>
          <w:tcPr>
            <w:tcW w:type="dxa" w:w="1728"/>
          </w:tcPr>
          <w:p>
            <w:r/>
            <w:r>
              <w:t>Fornecedor · PedidoCompra · Recebimento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ms-estoque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ms-producao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ms-analytics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ms-qualidade</w:t>
            </w:r>
          </w:p>
        </w:tc>
        <w:tc>
          <w:tcPr>
            <w:tcW w:type="dxa" w:w="1728"/>
          </w:tcPr>
          <w:p>
            <w:r/>
            <w:r>
              <w:t>Núcleo</w:t>
            </w:r>
          </w:p>
        </w:tc>
        <w:tc>
          <w:tcPr>
            <w:tcW w:type="dxa" w:w="1728"/>
          </w:tcPr>
          <w:p>
            <w:r/>
            <w:r>
              <w:t>Monitorar condições ambientais da adega e registrar análises e alertas.</w:t>
            </w:r>
          </w:p>
        </w:tc>
        <w:tc>
          <w:tcPr>
            <w:tcW w:type="dxa" w:w="1728"/>
          </w:tcPr>
          <w:p>
            <w:r/>
            <w:r>
              <w:t>Leitura de Temperatura / Umidade · Análise Laboratorial · Alerta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ms-estoque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ms-producao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ms-analytics</w:t>
            </w:r>
            <w:r>
              <w:t xml:space="preserve"> · Painel operacional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ms-clientes</w:t>
            </w:r>
          </w:p>
        </w:tc>
        <w:tc>
          <w:tcPr>
            <w:tcW w:type="dxa" w:w="1728"/>
          </w:tcPr>
          <w:p>
            <w:r/>
            <w:r>
              <w:t>Núcleo</w:t>
            </w:r>
          </w:p>
        </w:tc>
        <w:tc>
          <w:tcPr>
            <w:tcW w:type="dxa" w:w="1728"/>
          </w:tcPr>
          <w:p>
            <w:r/>
            <w:r>
              <w:t>Manter cadastro, perfil e consentimento LGPD de cada cliente.</w:t>
            </w:r>
          </w:p>
        </w:tc>
        <w:tc>
          <w:tcPr>
            <w:tcW w:type="dxa" w:w="1728"/>
          </w:tcPr>
          <w:p>
            <w:r/>
            <w:r>
              <w:t>Cliente · Perfil · Consentimento LGPD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ms-pedidos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ms-identidade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ms-notificacoes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ms-analytics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ms-pagamentos</w:t>
            </w:r>
          </w:p>
        </w:tc>
        <w:tc>
          <w:tcPr>
            <w:tcW w:type="dxa" w:w="1728"/>
          </w:tcPr>
          <w:p>
            <w:r/>
            <w:r>
              <w:t>Núcleo</w:t>
            </w:r>
          </w:p>
        </w:tc>
        <w:tc>
          <w:tcPr>
            <w:tcW w:type="dxa" w:w="1728"/>
          </w:tcPr>
          <w:p>
            <w:r/>
            <w:r>
              <w:t>Processar cobrança, conciliação financeira e estornos das vendas.</w:t>
            </w:r>
          </w:p>
        </w:tc>
        <w:tc>
          <w:tcPr>
            <w:tcW w:type="dxa" w:w="1728"/>
          </w:tcPr>
          <w:p>
            <w:r/>
            <w:r>
              <w:t>Cobrança · Transação · Conciliação · Estorno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ms-pedidos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ms-analytics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ms-notificacoes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ms-identidade</w:t>
            </w:r>
          </w:p>
        </w:tc>
        <w:tc>
          <w:tcPr>
            <w:tcW w:type="dxa" w:w="1728"/>
          </w:tcPr>
          <w:p>
            <w:r/>
            <w:r>
              <w:t>Satélite</w:t>
            </w:r>
          </w:p>
        </w:tc>
        <w:tc>
          <w:tcPr>
            <w:tcW w:type="dxa" w:w="1728"/>
          </w:tcPr>
          <w:p>
            <w:r/>
            <w:r>
              <w:t>Autenticar e autorizar usuários e serviços via OAuth2/OIDC e RBAC.</w:t>
            </w:r>
          </w:p>
        </w:tc>
        <w:tc>
          <w:tcPr>
            <w:tcW w:type="dxa" w:w="1728"/>
          </w:tcPr>
          <w:p>
            <w:r/>
            <w:r>
              <w:t>Usuário / Credencial · Papel / Permissão (RBAC) · Token / Sessão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ms-pedidos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ms-clientes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ms-fornecedores</w:t>
            </w:r>
            <w:r>
              <w:t xml:space="preserve"> (painel) · App mobile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ms-notificacoes</w:t>
            </w:r>
          </w:p>
        </w:tc>
        <w:tc>
          <w:tcPr>
            <w:tcW w:type="dxa" w:w="1728"/>
          </w:tcPr>
          <w:p>
            <w:r/>
            <w:r>
              <w:t>Satélite</w:t>
            </w:r>
          </w:p>
        </w:tc>
        <w:tc>
          <w:tcPr>
            <w:tcW w:type="dxa" w:w="1728"/>
          </w:tcPr>
          <w:p>
            <w:r/>
            <w:r>
              <w:t>Disparar e rastrear comunicações por e-mail, WhatsApp e push.</w:t>
            </w:r>
          </w:p>
        </w:tc>
        <w:tc>
          <w:tcPr>
            <w:tcW w:type="dxa" w:w="1728"/>
          </w:tcPr>
          <w:p>
            <w:r/>
            <w:r>
              <w:t>Template de Mensagem · Envio (status) · Preferência de canal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ms-pedidos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ms-qualidade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ms-pagamentos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ms-clientes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ms-analytics</w:t>
            </w:r>
          </w:p>
        </w:tc>
        <w:tc>
          <w:tcPr>
            <w:tcW w:type="dxa" w:w="1728"/>
          </w:tcPr>
          <w:p>
            <w:r/>
            <w:r>
              <w:t>Satélite</w:t>
            </w:r>
          </w:p>
        </w:tc>
        <w:tc>
          <w:tcPr>
            <w:tcW w:type="dxa" w:w="1728"/>
          </w:tcPr>
          <w:p>
            <w:r/>
            <w:r>
              <w:t>Consolidar indicadores de venda e produção para previsão e dashboards.</w:t>
            </w:r>
          </w:p>
        </w:tc>
        <w:tc>
          <w:tcPr>
            <w:tcW w:type="dxa" w:w="1728"/>
          </w:tcPr>
          <w:p>
            <w:r/>
            <w:r>
              <w:t>Indicador Consolidado · Modelo de Previsão</w:t>
            </w:r>
          </w:p>
        </w:tc>
        <w:tc>
          <w:tcPr>
            <w:tcW w:type="dxa" w:w="1728"/>
          </w:tcPr>
          <w:p>
            <w:r/>
            <w:r>
              <w:t>Dashboard (BI) · Gestão / Direção</w:t>
            </w:r>
          </w:p>
        </w:tc>
      </w:tr>
    </w:tbl>
    <w:p>
      <w:pPr>
        <w:pStyle w:val="Heading3"/>
      </w:pPr>
      <w:r>
        <w:t>1.1 Regras de posse dos dados (uma entidade, um dono)</w:t>
      </w:r>
    </w:p>
    <w:p>
      <w:r>
        <w:t>Para que a parte 3 (Database per Service) e o diagrama da parte 2 não encontrem posse duplicada, valem estas quatro regras. Nenhum serviço compartilha tabela com outro: cada entidade tem um único dono.</w:t>
      </w:r>
    </w:p>
    <w:p>
      <w:pPr>
        <w:pStyle w:val="ListNumber"/>
      </w:pPr>
      <w:r>
        <w:rPr>
          <w:b/>
        </w:rPr>
        <w:t>Safra pertence ao `ms-producao`.</w:t>
      </w:r>
      <w:r>
        <w:t xml:space="preserve"> O </w:t>
      </w:r>
      <w:r>
        <w:rPr>
          <w:rFonts w:ascii="Consolas" w:hAnsi="Consolas"/>
          <w:sz w:val="18"/>
        </w:rPr>
        <w:t>ms-catalogo</w:t>
      </w:r>
      <w:r>
        <w:t xml:space="preserve"> guarda a ficha comercial do vinho (teor, harmonização, mídia) e apenas </w:t>
      </w:r>
      <w:r>
        <w:rPr>
          <w:i/>
        </w:rPr>
        <w:t>referencia</w:t>
      </w:r>
      <w:r>
        <w:t xml:space="preserve"> a safra de exibição pelo </w:t>
      </w:r>
      <w:r>
        <w:rPr>
          <w:rFonts w:ascii="Consolas" w:hAnsi="Consolas"/>
          <w:sz w:val="18"/>
        </w:rPr>
        <w:t>safraId</w:t>
      </w:r>
      <w:r>
        <w:t xml:space="preserve">; não é dono do registro de safra. O </w:t>
      </w:r>
      <w:r>
        <w:rPr>
          <w:rFonts w:ascii="Consolas" w:hAnsi="Consolas"/>
          <w:sz w:val="18"/>
        </w:rPr>
        <w:t>ms-lotes</w:t>
      </w:r>
      <w:r>
        <w:t xml:space="preserve"> também referencia </w:t>
      </w:r>
      <w:r>
        <w:rPr>
          <w:rFonts w:ascii="Consolas" w:hAnsi="Consolas"/>
          <w:sz w:val="18"/>
        </w:rPr>
        <w:t>safraId</w:t>
      </w:r>
      <w:r>
        <w:t xml:space="preserve"> ao classificar o lote.</w:t>
      </w:r>
    </w:p>
    <w:p>
      <w:pPr>
        <w:pStyle w:val="ListNumber"/>
      </w:pPr>
      <w:r>
        <w:rPr>
          <w:b/>
        </w:rPr>
        <w:t>Nome canônico da movimentação.</w:t>
      </w:r>
      <w:r>
        <w:t xml:space="preserve"> O que hoje existe como </w:t>
      </w:r>
      <w:r>
        <w:rPr>
          <w:rFonts w:ascii="Consolas" w:hAnsi="Consolas"/>
          <w:sz w:val="18"/>
        </w:rPr>
        <w:t>TransacaoEstoque</w:t>
      </w:r>
      <w:r>
        <w:t xml:space="preserve"> no .NET passa a se chamar </w:t>
      </w:r>
      <w:r>
        <w:rPr>
          <w:rFonts w:ascii="Consolas" w:hAnsi="Consolas"/>
          <w:sz w:val="18"/>
        </w:rPr>
        <w:t>MovimentacaoEstoque</w:t>
      </w:r>
      <w:r>
        <w:t xml:space="preserve"> no alvo — é a mesma entidade, renomeada na migração. Ela pertence ao </w:t>
      </w:r>
      <w:r>
        <w:rPr>
          <w:rFonts w:ascii="Consolas" w:hAnsi="Consolas"/>
          <w:sz w:val="18"/>
        </w:rPr>
        <w:t>ms-estoque</w:t>
      </w:r>
      <w:r>
        <w:t xml:space="preserve"> e não se duplica em outro serviço.</w:t>
      </w:r>
    </w:p>
    <w:p>
      <w:pPr>
        <w:pStyle w:val="ListNumber"/>
      </w:pPr>
      <w:r>
        <w:rPr>
          <w:b/>
        </w:rPr>
        <w:t>Só o `ms-estoque` escreve no agregado de estoque.</w:t>
      </w:r>
      <w:r>
        <w:t xml:space="preserve"> Posição, movimentação e reserva são escritas exclusivamente por ele. A entrada gerada pelo recebimento de uma compra nasce no </w:t>
      </w:r>
      <w:r>
        <w:rPr>
          <w:rFonts w:ascii="Consolas" w:hAnsi="Consolas"/>
          <w:sz w:val="18"/>
        </w:rPr>
        <w:t>ms-fornecedores</w:t>
      </w:r>
      <w:r>
        <w:t xml:space="preserve"> (dono do </w:t>
      </w:r>
      <w:r>
        <w:rPr>
          <w:rFonts w:ascii="Consolas" w:hAnsi="Consolas"/>
          <w:sz w:val="18"/>
        </w:rPr>
        <w:t>Recebimento</w:t>
      </w:r>
      <w:r>
        <w:t xml:space="preserve">) e chega ao </w:t>
      </w:r>
      <w:r>
        <w:rPr>
          <w:rFonts w:ascii="Consolas" w:hAnsi="Consolas"/>
          <w:sz w:val="18"/>
        </w:rPr>
        <w:t>ms-estoque</w:t>
      </w:r>
      <w:r>
        <w:t xml:space="preserve"> como evento; </w:t>
      </w:r>
      <w:r>
        <w:rPr>
          <w:b/>
        </w:rPr>
        <w:t>quem registra o movimento de entrada é o `ms-estoque`</w:t>
      </w:r>
      <w:r>
        <w:t>. Nenhum outro serviço escreve posição de estoque.</w:t>
      </w:r>
    </w:p>
    <w:p>
      <w:pPr>
        <w:pStyle w:val="ListNumber"/>
      </w:pPr>
      <w:r>
        <w:rPr>
          <w:b/>
        </w:rPr>
        <w:t>Cópias derivadas são declaradas como tal.</w:t>
      </w:r>
      <w:r>
        <w:t xml:space="preserve"> O histórico de compras do </w:t>
      </w:r>
      <w:r>
        <w:rPr>
          <w:rFonts w:ascii="Consolas" w:hAnsi="Consolas"/>
          <w:sz w:val="18"/>
        </w:rPr>
        <w:t>ms-clientes</w:t>
      </w:r>
      <w:r>
        <w:t xml:space="preserve"> e o dataset histórico do </w:t>
      </w:r>
      <w:r>
        <w:rPr>
          <w:rFonts w:ascii="Consolas" w:hAnsi="Consolas"/>
          <w:sz w:val="18"/>
        </w:rPr>
        <w:t>ms-analytics</w:t>
      </w:r>
      <w:r>
        <w:t xml:space="preserve"> são </w:t>
      </w:r>
      <w:r>
        <w:rPr>
          <w:i/>
        </w:rPr>
        <w:t>read-models</w:t>
      </w:r>
      <w:r>
        <w:t xml:space="preserve"> (cópias somente-leitura) alimentados por evento a partir do </w:t>
      </w:r>
      <w:r>
        <w:rPr>
          <w:rFonts w:ascii="Consolas" w:hAnsi="Consolas"/>
          <w:sz w:val="18"/>
        </w:rPr>
        <w:t>ms-pedidos</w:t>
      </w:r>
      <w:r>
        <w:t xml:space="preserve">; não são posse de dado. O dono do pedido continua sendo o </w:t>
      </w:r>
      <w:r>
        <w:rPr>
          <w:rFonts w:ascii="Consolas" w:hAnsi="Consolas"/>
          <w:sz w:val="18"/>
        </w:rPr>
        <w:t>ms-pedidos</w:t>
      </w:r>
      <w:r>
        <w:t>.</w:t>
      </w:r>
    </w:p>
    <w:p>
      <w:pPr>
        <w:pStyle w:val="Heading3"/>
      </w:pPr>
      <w:r>
        <w:t>1.2 Sobre a contagem</w:t>
      </w:r>
    </w:p>
    <w:p>
      <w:r>
        <w:t xml:space="preserve">A sugestão do brief foi "manter </w:t>
      </w:r>
      <w:r>
        <w:rPr>
          <w:b/>
        </w:rPr>
        <w:t>10–12 serviços de núcleo</w:t>
      </w:r>
      <w:r>
        <w:t xml:space="preserve"> e citar 2–3 satélites". A entrega tem </w:t>
      </w:r>
      <w:r>
        <w:rPr>
          <w:b/>
        </w:rPr>
        <w:t>9 de núcleo + 3 satélites = 12 serviços</w:t>
      </w:r>
      <w:r>
        <w:t>. Há duas leituras possíveis dessa faixa, e registramos a divergência em vez de escondê-la:</w:t>
      </w:r>
    </w:p>
    <w:p>
      <w:pPr>
        <w:pStyle w:val="ListBullet"/>
      </w:pPr>
      <w:r>
        <w:t xml:space="preserve">se os 10–12 forem lidos como </w:t>
      </w:r>
      <w:r>
        <w:rPr>
          <w:b/>
        </w:rPr>
        <w:t>total de serviços</w:t>
      </w:r>
      <w:r>
        <w:t>, os 12 entregues estão dentro da faixa;</w:t>
      </w:r>
    </w:p>
    <w:p>
      <w:pPr>
        <w:pStyle w:val="ListBullet"/>
      </w:pPr>
      <w:r>
        <w:t xml:space="preserve">se forem lidos como </w:t>
      </w:r>
      <w:r>
        <w:rPr>
          <w:b/>
        </w:rPr>
        <w:t>núcleo apenas</w:t>
      </w:r>
      <w:r>
        <w:t>, a entrega está 1 abaixo do piso.</w:t>
      </w:r>
    </w:p>
    <w:p>
      <w:r>
        <w:t xml:space="preserve">Optamos por não inflar a lista para fechar a conta: entre criar um décimo serviço só para arredondar e manter apenas serviços com responsabilidade genuinamente coesa, ficamos com a segunda opção — o mesmo critério que usamos para descartar os seis itens do item 3. Se o grupo preferir fechar o piso literal de 10 núcleos antes de o diagrama ser desenhado, o único candidato natural é extrair o carrinho do </w:t>
      </w:r>
      <w:r>
        <w:rPr>
          <w:rFonts w:ascii="Consolas" w:hAnsi="Consolas"/>
          <w:sz w:val="18"/>
        </w:rPr>
        <w:t>ms-pedidos</w:t>
      </w:r>
      <w:r>
        <w:t xml:space="preserve"> (descartado no item 3 por ser estado efêmero do mesmo agregado); a decisão é do grupo, com aviso no chat conforme o combinado do congelamento.</w:t>
      </w:r>
    </w:p>
    <w:p>
      <w:pPr>
        <w:pStyle w:val="Heading3"/>
      </w:pPr>
      <w:r>
        <w:t>1.3 Critérios de aceite — conferência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Critério do brief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Onde é atendido</w:t>
            </w:r>
          </w:p>
        </w:tc>
      </w:tr>
      <w:tr>
        <w:tc>
          <w:tcPr>
            <w:tcW w:type="dxa" w:w="4320"/>
          </w:tcPr>
          <w:p>
            <w:r/>
            <w:r>
              <w:t>Cada serviço tem responsabilidade única e não compartilha tabela com outro</w:t>
            </w:r>
          </w:p>
        </w:tc>
        <w:tc>
          <w:tcPr>
            <w:tcW w:type="dxa" w:w="4320"/>
          </w:tcPr>
          <w:p>
            <w:r/>
            <w:r>
              <w:t>Coluna "Responsabilidade única" da tabela do item 1 e regras de posse do item 1.1</w:t>
            </w:r>
          </w:p>
        </w:tc>
      </w:tr>
      <w:tr>
        <w:tc>
          <w:tcPr>
            <w:tcW w:type="dxa" w:w="4320"/>
          </w:tcPr>
          <w:p>
            <w:r/>
            <w:r>
              <w:t>Cada serviço diz quem é o dono do dado (uma entidade por linha)</w:t>
            </w:r>
          </w:p>
        </w:tc>
        <w:tc>
          <w:tcPr>
            <w:tcW w:type="dxa" w:w="4320"/>
          </w:tcPr>
          <w:p>
            <w:r/>
            <w:r>
              <w:t>Coluna "Dados dos quais é dono" da tabela do item 1, com as cópias derivadas declaradas no item 1.1</w:t>
            </w:r>
          </w:p>
        </w:tc>
      </w:tr>
      <w:tr>
        <w:tc>
          <w:tcPr>
            <w:tcW w:type="dxa" w:w="4320"/>
          </w:tcPr>
          <w:p>
            <w:r/>
            <w:r>
              <w:t>Nomes padronizados (</w:t>
            </w:r>
            <w:r>
              <w:rPr>
                <w:rFonts w:ascii="Consolas" w:hAnsi="Consolas"/>
                <w:sz w:val="18"/>
              </w:rPr>
              <w:t>ms-...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Item 6 — glossário congelado, 12 nomes, sem exceção</w:t>
            </w:r>
          </w:p>
        </w:tc>
      </w:tr>
      <w:tr>
        <w:tc>
          <w:tcPr>
            <w:tcW w:type="dxa" w:w="4320"/>
          </w:tcPr>
          <w:p>
            <w:r/>
            <w:r>
              <w:t>Seção curta do que ficou de fora e por quê</w:t>
            </w:r>
          </w:p>
        </w:tc>
        <w:tc>
          <w:tcPr>
            <w:tcW w:type="dxa" w:w="4320"/>
          </w:tcPr>
          <w:p>
            <w:r/>
            <w:r>
              <w:t>Item 3, com seis descartes justificados</w:t>
            </w:r>
          </w:p>
        </w:tc>
      </w:tr>
    </w:tbl>
    <w:p>
      <w:pPr>
        <w:pStyle w:val="Heading3"/>
      </w:pPr>
      <w:r>
        <w:t>1.4 Dono do dado por entidade</w:t>
      </w:r>
    </w:p>
    <w:p>
      <w:r>
        <w:t xml:space="preserve">Cada entidade pertence a </w:t>
      </w:r>
      <w:r>
        <w:rPr>
          <w:b/>
        </w:rPr>
        <w:t>um único</w:t>
      </w:r>
      <w:r>
        <w:t xml:space="preserve"> serviço, e esta é a lista que a parte 3 (</w:t>
      </w:r>
      <w:r>
        <w:rPr>
          <w:i/>
        </w:rPr>
        <w:t>Database per Service</w:t>
      </w:r>
      <w:r>
        <w:t>) usa como entrada. Onde existe leitura cruzada, ela acontece por API ou por evento — nunca por acesso direto ao banco do vizinho.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Serviço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Entidades das quais é dono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ms-catalogo</w:t>
            </w:r>
          </w:p>
        </w:tc>
        <w:tc>
          <w:tcPr>
            <w:tcW w:type="dxa" w:w="4320"/>
          </w:tcPr>
          <w:p>
            <w:r/>
            <w:r>
              <w:t>Vinho (ficha comercial), Categoria, Regra de Harmonização, Mídia do Produto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ms-producao</w:t>
            </w:r>
          </w:p>
        </w:tc>
        <w:tc>
          <w:tcPr>
            <w:tcW w:type="dxa" w:w="4320"/>
          </w:tcPr>
          <w:p>
            <w:r/>
            <w:r>
              <w:t>Safra, Colheita, Fermentação, Armazenagem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ms-lotes</w:t>
            </w:r>
          </w:p>
        </w:tc>
        <w:tc>
          <w:tcPr>
            <w:tcW w:type="dxa" w:w="4320"/>
          </w:tcPr>
          <w:p>
            <w:r/>
            <w:r>
              <w:t>Lote, Genealogia do Lote, Código de Rastreio / QR, Histórico do Lote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ms-estoque</w:t>
            </w:r>
          </w:p>
        </w:tc>
        <w:tc>
          <w:tcPr>
            <w:tcW w:type="dxa" w:w="4320"/>
          </w:tcPr>
          <w:p>
            <w:r/>
            <w:r>
              <w:t>Posição de Estoque, MovimentacaoEstoque, Reserva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ms-pedidos</w:t>
            </w:r>
          </w:p>
        </w:tc>
        <w:tc>
          <w:tcPr>
            <w:tcW w:type="dxa" w:w="4320"/>
          </w:tcPr>
          <w:p>
            <w:r/>
            <w:r>
              <w:t>Carrinho, Pedido, Item do Pedido, Status de Separação / Entrega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ms-fornecedores</w:t>
            </w:r>
          </w:p>
        </w:tc>
        <w:tc>
          <w:tcPr>
            <w:tcW w:type="dxa" w:w="4320"/>
          </w:tcPr>
          <w:p>
            <w:r/>
            <w:r>
              <w:t>Fornecedor, PedidoCompra, Recebimento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ms-qualidade</w:t>
            </w:r>
          </w:p>
        </w:tc>
        <w:tc>
          <w:tcPr>
            <w:tcW w:type="dxa" w:w="4320"/>
          </w:tcPr>
          <w:p>
            <w:r/>
            <w:r>
              <w:t>Leitura de Temperatura / Umidade, Análise Laboratorial, Alerta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ms-clientes</w:t>
            </w:r>
          </w:p>
        </w:tc>
        <w:tc>
          <w:tcPr>
            <w:tcW w:type="dxa" w:w="4320"/>
          </w:tcPr>
          <w:p>
            <w:r/>
            <w:r>
              <w:t>Cliente, Perfil, Consentimento LGPD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ms-pagamentos</w:t>
            </w:r>
          </w:p>
        </w:tc>
        <w:tc>
          <w:tcPr>
            <w:tcW w:type="dxa" w:w="4320"/>
          </w:tcPr>
          <w:p>
            <w:r/>
            <w:r>
              <w:t>Cobrança, Transação, Conciliação, Estorno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ms-identidade</w:t>
            </w:r>
          </w:p>
        </w:tc>
        <w:tc>
          <w:tcPr>
            <w:tcW w:type="dxa" w:w="4320"/>
          </w:tcPr>
          <w:p>
            <w:r/>
            <w:r>
              <w:t>Usuário / Credencial, Papel / Permissão (RBAC), Token / Sessão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ms-notificacoes</w:t>
            </w:r>
          </w:p>
        </w:tc>
        <w:tc>
          <w:tcPr>
            <w:tcW w:type="dxa" w:w="4320"/>
          </w:tcPr>
          <w:p>
            <w:r/>
            <w:r>
              <w:t>Template de Mensagem, Envio (status), Preferência de Canal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ms-analytics</w:t>
            </w:r>
          </w:p>
        </w:tc>
        <w:tc>
          <w:tcPr>
            <w:tcW w:type="dxa" w:w="4320"/>
          </w:tcPr>
          <w:p>
            <w:r/>
            <w:r>
              <w:t>Indicador Consolidado, Modelo de Previsão</w:t>
            </w:r>
          </w:p>
        </w:tc>
      </w:tr>
    </w:tbl>
    <w:p>
      <w:r>
        <w:t xml:space="preserve">Fora dessa lista, duas coisas circulam como </w:t>
      </w:r>
      <w:r>
        <w:rPr>
          <w:b/>
        </w:rPr>
        <w:t>projeção derivada</w:t>
      </w:r>
      <w:r>
        <w:t xml:space="preserve">, não como posse: o histórico de compras em </w:t>
      </w:r>
      <w:r>
        <w:rPr>
          <w:rFonts w:ascii="Consolas" w:hAnsi="Consolas"/>
          <w:sz w:val="18"/>
        </w:rPr>
        <w:t>ms-clientes</w:t>
      </w:r>
      <w:r>
        <w:t xml:space="preserve"> (projeção do que pertence ao </w:t>
      </w:r>
      <w:r>
        <w:rPr>
          <w:rFonts w:ascii="Consolas" w:hAnsi="Consolas"/>
          <w:sz w:val="18"/>
        </w:rPr>
        <w:t>ms-pedidos</w:t>
      </w:r>
      <w:r>
        <w:t xml:space="preserve">) e o dataset histórico em </w:t>
      </w:r>
      <w:r>
        <w:rPr>
          <w:rFonts w:ascii="Consolas" w:hAnsi="Consolas"/>
          <w:sz w:val="18"/>
        </w:rPr>
        <w:t>ms-analytics</w:t>
      </w:r>
      <w:r>
        <w:t xml:space="preserve"> (cópia alimentada por evento). </w:t>
      </w:r>
      <w:r>
        <w:rPr>
          <w:rFonts w:ascii="Consolas" w:hAnsi="Consolas"/>
          <w:sz w:val="18"/>
        </w:rPr>
        <w:t>Safra</w:t>
      </w:r>
      <w:r>
        <w:t xml:space="preserve"> aparece uma única vez, no </w:t>
      </w:r>
      <w:r>
        <w:rPr>
          <w:rFonts w:ascii="Consolas" w:hAnsi="Consolas"/>
          <w:sz w:val="18"/>
        </w:rPr>
        <w:t>ms-producao</w:t>
      </w:r>
      <w:r>
        <w:t>, conforme a regra 1 do item 1.1.</w:t>
      </w:r>
    </w:p>
    <w:p>
      <w:pPr>
        <w:pStyle w:val="Heading2"/>
      </w:pPr>
      <w:r>
        <w:t>2. Fronteiras de domínio</w:t>
      </w:r>
    </w:p>
    <w:p>
      <w:r>
        <w:t xml:space="preserve">Cada corte que propomos aqui delimita o que a literatura de DDD chama de </w:t>
      </w:r>
      <w:r>
        <w:rPr>
          <w:i/>
        </w:rPr>
        <w:t>Bounded Context</w:t>
      </w:r>
      <w:r>
        <w:t>: um pedaço do sistema com vocabulário e regras próprias, que muda no seu próprio ritmo. Por isso ele não deveria dividir tabela, deploy nem time com o vizinho.</w:t>
      </w:r>
    </w:p>
    <w:p>
      <w:r>
        <w:t xml:space="preserve">O que existe hoje no repositório é o contraexemplo do recorte que queremos: em </w:t>
      </w:r>
      <w:r>
        <w:rPr>
          <w:rFonts w:ascii="Consolas" w:hAnsi="Consolas"/>
          <w:sz w:val="18"/>
        </w:rPr>
        <w:t>Web/src/main/java/br/com/fiap/vinheriaagnello/</w:t>
      </w:r>
      <w:r>
        <w:t>, o catálogo (</w:t>
      </w:r>
      <w:r>
        <w:rPr>
          <w:rFonts w:ascii="Consolas" w:hAnsi="Consolas"/>
          <w:sz w:val="18"/>
        </w:rPr>
        <w:t>web/VitrineServlet.java</w:t>
      </w:r>
      <w:r>
        <w:t xml:space="preserve">, </w:t>
      </w:r>
      <w:r>
        <w:rPr>
          <w:rFonts w:ascii="Consolas" w:hAnsi="Consolas"/>
          <w:sz w:val="18"/>
        </w:rPr>
        <w:t>web/VinhoServlet.java</w:t>
      </w:r>
      <w:r>
        <w:t>) e o cadastro de clientes (</w:t>
      </w:r>
      <w:r>
        <w:rPr>
          <w:rFonts w:ascii="Consolas" w:hAnsi="Consolas"/>
          <w:sz w:val="18"/>
        </w:rPr>
        <w:t>web/ClienteCadastroServlet.java</w:t>
      </w:r>
      <w:r>
        <w:t xml:space="preserve">) compartilham o mesmo </w:t>
      </w:r>
      <w:r>
        <w:rPr>
          <w:rFonts w:ascii="Consolas" w:hAnsi="Consolas"/>
          <w:sz w:val="18"/>
        </w:rPr>
        <w:t>repository/InMemoryDatabase.java</w:t>
      </w:r>
      <w:r>
        <w:t xml:space="preserve"> e os mesmos modelos de </w:t>
      </w:r>
      <w:r>
        <w:rPr>
          <w:rFonts w:ascii="Consolas" w:hAnsi="Consolas"/>
          <w:sz w:val="18"/>
        </w:rPr>
        <w:t>model/</w:t>
      </w:r>
      <w:r>
        <w:t xml:space="preserve"> — mexer na vitrine obriga a testar o cadastro. Cada fronteira abaixo existe para não repetir esse acoplamento em escala de serviço. Os critérios usados em cada corte estão descritos a seguir — os 12 serviços aparecem justificados.</w:t>
      </w:r>
    </w:p>
    <w:p>
      <w:pPr>
        <w:pStyle w:val="ListBullet"/>
      </w:pPr>
      <w:r>
        <w:rPr>
          <w:b/>
        </w:rPr>
        <w:t>Catálogo e lotes parecem parecidos, mas mudam por razões diferentes.</w:t>
      </w:r>
      <w:r>
        <w:t xml:space="preserve"> O catálogo (</w:t>
      </w:r>
      <w:r>
        <w:rPr>
          <w:rFonts w:ascii="Consolas" w:hAnsi="Consolas"/>
          <w:sz w:val="18"/>
        </w:rPr>
        <w:t>ms-catalogo</w:t>
      </w:r>
      <w:r>
        <w:t>) muda por motivo comercial, como uma safra nova em destaque ou uma ficha de harmonização reescrita. Lotes (</w:t>
      </w:r>
      <w:r>
        <w:rPr>
          <w:rFonts w:ascii="Consolas" w:hAnsi="Consolas"/>
          <w:sz w:val="18"/>
        </w:rPr>
        <w:t>ms-lotes</w:t>
      </w:r>
      <w:r>
        <w:t>) muda por exigência regulatória, ligada à rastreabilidade do vinho. Juntar os dois num módulo só faria o time comercial testar regra fiscal toda vez que trocasse uma foto de produto.</w:t>
      </w:r>
    </w:p>
    <w:p>
      <w:pPr>
        <w:pStyle w:val="ListBullet"/>
      </w:pPr>
      <w:r>
        <w:rPr>
          <w:b/>
        </w:rPr>
        <w:t>Produção × Qualidade.</w:t>
      </w:r>
      <w:r>
        <w:t xml:space="preserve"> Um decide o que produzir e quando (</w:t>
      </w:r>
      <w:r>
        <w:rPr>
          <w:rFonts w:ascii="Consolas" w:hAnsi="Consolas"/>
          <w:sz w:val="18"/>
        </w:rPr>
        <w:t>ms-producao</w:t>
      </w:r>
      <w:r>
        <w:t>). O outro mede se o que já foi produzido está dentro do padrão prometido (</w:t>
      </w:r>
      <w:r>
        <w:rPr>
          <w:rFonts w:ascii="Consolas" w:hAnsi="Consolas"/>
          <w:sz w:val="18"/>
        </w:rPr>
        <w:t>ms-qualidade</w:t>
      </w:r>
      <w:r>
        <w:t>). A diferença de frequência é grande: a telemetria dos sensores gera uma leitura a cada poucos segundos, um volume que não faz sentido impor ao modelo transacional, bem mais lento, da produção.</w:t>
      </w:r>
    </w:p>
    <w:p>
      <w:pPr>
        <w:pStyle w:val="ListBullet"/>
      </w:pPr>
      <w:r>
        <w:rPr>
          <w:b/>
        </w:rPr>
        <w:t>Estoque e pedidos guardam verdades diferentes.</w:t>
      </w:r>
      <w:r>
        <w:t xml:space="preserve"> O estoque (</w:t>
      </w:r>
      <w:r>
        <w:rPr>
          <w:rFonts w:ascii="Consolas" w:hAnsi="Consolas"/>
          <w:sz w:val="18"/>
        </w:rPr>
        <w:t>ms-estoque</w:t>
      </w:r>
      <w:r>
        <w:t>) sabe quanto existe de fato na adega. Pedidos (</w:t>
      </w:r>
      <w:r>
        <w:rPr>
          <w:rFonts w:ascii="Consolas" w:hAnsi="Consolas"/>
          <w:sz w:val="18"/>
        </w:rPr>
        <w:t>ms-pedidos</w:t>
      </w:r>
      <w:r>
        <w:t>) sabe quanto já foi prometido a algum cliente. Se fossem o mesmo serviço, um pico de acesso ao catálogo em data comemorativa passaria a competir, na mesma escala, com a escrita do estoque, que não pode errar.</w:t>
      </w:r>
    </w:p>
    <w:p>
      <w:pPr>
        <w:pStyle w:val="ListBullet"/>
      </w:pPr>
      <w:r>
        <w:rPr>
          <w:b/>
        </w:rPr>
        <w:t>Pagamentos isolado.</w:t>
      </w:r>
      <w:r>
        <w:t xml:space="preserve"> Cobrança, conciliação e estorno lidam com dado sensível e exigem trilha de auditoria própria, no padrão PCI-DSS. Não há razão para replicar essa exigência em outro contexto. Isolar tudo em </w:t>
      </w:r>
      <w:r>
        <w:rPr>
          <w:rFonts w:ascii="Consolas" w:hAnsi="Consolas"/>
          <w:sz w:val="18"/>
        </w:rPr>
        <w:t>ms-pagamentos</w:t>
      </w:r>
      <w:r>
        <w:t xml:space="preserve"> limita a um único serviço o raio de exposição desse dado.</w:t>
      </w:r>
    </w:p>
    <w:p>
      <w:pPr>
        <w:pStyle w:val="ListBullet"/>
      </w:pPr>
      <w:r>
        <w:rPr>
          <w:b/>
        </w:rPr>
        <w:t>Compras e recebimento × estoque.</w:t>
      </w:r>
      <w:r>
        <w:t xml:space="preserve"> </w:t>
      </w:r>
      <w:r>
        <w:rPr>
          <w:rFonts w:ascii="Consolas" w:hAnsi="Consolas"/>
          <w:sz w:val="18"/>
        </w:rPr>
        <w:t>ms-fornecedores</w:t>
      </w:r>
      <w:r>
        <w:t xml:space="preserve"> é dono do documento de compra (</w:t>
      </w:r>
      <w:r>
        <w:rPr>
          <w:rFonts w:ascii="Consolas" w:hAnsi="Consolas"/>
          <w:sz w:val="18"/>
        </w:rPr>
        <w:t>PedidoCompra</w:t>
      </w:r>
      <w:r>
        <w:t xml:space="preserve">) e do </w:t>
      </w:r>
      <w:r>
        <w:rPr>
          <w:rFonts w:ascii="Consolas" w:hAnsi="Consolas"/>
          <w:sz w:val="18"/>
        </w:rPr>
        <w:t>Recebimento</w:t>
      </w:r>
      <w:r>
        <w:t xml:space="preserve"> — a conferência física do que chegou, com preço e divergência. </w:t>
      </w:r>
      <w:r>
        <w:rPr>
          <w:rFonts w:ascii="Consolas" w:hAnsi="Consolas"/>
          <w:sz w:val="18"/>
        </w:rPr>
        <w:t>ms-estoque</w:t>
      </w:r>
      <w:r>
        <w:t xml:space="preserve"> é dono da posição e do movimento. São verdades com donos diferentes: uma compra pode estar recebida e ainda não movimentada, e o inverso nunca pode acontecer. Por isso o movimento de entrada é escrito só pelo </w:t>
      </w:r>
      <w:r>
        <w:rPr>
          <w:rFonts w:ascii="Consolas" w:hAnsi="Consolas"/>
          <w:sz w:val="18"/>
        </w:rPr>
        <w:t>ms-estoque</w:t>
      </w:r>
      <w:r>
        <w:t>, a partir do evento de recebimento.</w:t>
      </w:r>
    </w:p>
    <w:p>
      <w:pPr>
        <w:pStyle w:val="ListBullet"/>
      </w:pPr>
      <w:r>
        <w:rPr>
          <w:b/>
        </w:rPr>
        <w:t>Fornecedores × pedidos.</w:t>
      </w:r>
      <w:r>
        <w:t xml:space="preserve"> </w:t>
      </w:r>
      <w:r>
        <w:rPr>
          <w:rFonts w:ascii="Consolas" w:hAnsi="Consolas"/>
          <w:sz w:val="18"/>
        </w:rPr>
        <w:t>PedidoCompra</w:t>
      </w:r>
      <w:r>
        <w:t xml:space="preserve"> (suprimento: fornecedor, custo, prazo de entrega) e </w:t>
      </w:r>
      <w:r>
        <w:rPr>
          <w:rFonts w:ascii="Consolas" w:hAnsi="Consolas"/>
          <w:sz w:val="18"/>
        </w:rPr>
        <w:t>Pedido</w:t>
      </w:r>
      <w:r>
        <w:t xml:space="preserve"> (venda: cliente, receita, entrega) têm ciclos, indicadores e interlocutores distintos. Chamar os dois de "pedido" no mesmo serviço é o caminho mais curto para relatório de compra entrando no faturamento — por isso o nome </w:t>
      </w:r>
      <w:r>
        <w:rPr>
          <w:rFonts w:ascii="Consolas" w:hAnsi="Consolas"/>
          <w:sz w:val="18"/>
        </w:rPr>
        <w:t>PedidoCompra</w:t>
      </w:r>
      <w:r>
        <w:t xml:space="preserve"> fica no </w:t>
      </w:r>
      <w:r>
        <w:rPr>
          <w:rFonts w:ascii="Consolas" w:hAnsi="Consolas"/>
          <w:sz w:val="18"/>
        </w:rPr>
        <w:t>ms-fornecedores</w:t>
      </w:r>
      <w:r>
        <w:t xml:space="preserve"> e o </w:t>
      </w:r>
      <w:r>
        <w:rPr>
          <w:rFonts w:ascii="Consolas" w:hAnsi="Consolas"/>
          <w:sz w:val="18"/>
        </w:rPr>
        <w:t>Pedido</w:t>
      </w:r>
      <w:r>
        <w:t xml:space="preserve"> no </w:t>
      </w:r>
      <w:r>
        <w:rPr>
          <w:rFonts w:ascii="Consolas" w:hAnsi="Consolas"/>
          <w:sz w:val="18"/>
        </w:rPr>
        <w:t>ms-pedidos</w:t>
      </w:r>
      <w:r>
        <w:t>.</w:t>
      </w:r>
    </w:p>
    <w:p>
      <w:pPr>
        <w:pStyle w:val="ListBullet"/>
      </w:pPr>
      <w:r>
        <w:rPr>
          <w:b/>
        </w:rPr>
        <w:t>Clientes × Identidade.</w:t>
      </w:r>
      <w:r>
        <w:t xml:space="preserve"> Dado de cliente é negócio: cadastro, perfil e consentimento LGPD, que muda quando o cliente quer, com obrigação legal de exclusão. Credencial, papel e token são plataforma: mudam quando a política de segurança muda. Se fossem o mesmo serviço, uma alteração de política de senha passaria a mexer no cadastro comercial e o consentimento LGPD ficaria no caminho crítico do login.</w:t>
      </w:r>
    </w:p>
    <w:p>
      <w:pPr>
        <w:pStyle w:val="ListBullet"/>
      </w:pPr>
      <w:r>
        <w:rPr>
          <w:b/>
        </w:rPr>
        <w:t>Identidade e notificações não carregam nenhuma regra de negócio da vinícola:</w:t>
      </w:r>
      <w:r>
        <w:t xml:space="preserve"> são capacidades de plataforma, usadas por qualquer domínio. Por isso viraram satélites, e não núcleo — assim evitamos a tentação de grudar autenticação ou envio de e-mail na lógica de um domínio específico.</w:t>
      </w:r>
    </w:p>
    <w:p>
      <w:pPr>
        <w:pStyle w:val="ListBullet"/>
      </w:pPr>
      <w:r>
        <w:rPr>
          <w:b/>
        </w:rPr>
        <w:t>Analytics também é satélite, e lê, não escreve.</w:t>
      </w:r>
      <w:r>
        <w:t xml:space="preserve"> </w:t>
      </w:r>
      <w:r>
        <w:rPr>
          <w:rFonts w:ascii="Consolas" w:hAnsi="Consolas"/>
          <w:sz w:val="18"/>
        </w:rPr>
        <w:t>ms-analytics</w:t>
      </w:r>
      <w:r>
        <w:t xml:space="preserve"> consolida indicadores a partir de eventos dos domínios e é dono apenas do indicador consolidado e do modelo de previsão. Se fosse núcleo, toda decisão de BI viraria dependência do caminho transacional — e um dashboard pesado poderia derrubar venda.</w:t>
      </w:r>
    </w:p>
    <w:p>
      <w:pPr>
        <w:pStyle w:val="Heading2"/>
      </w:pPr>
      <w:r>
        <w:t>3. O que NÃO vira microsserviço (e por quê)</w:t>
      </w:r>
    </w:p>
    <w:p>
      <w:r>
        <w:t>Um recorte generoso demais tem custo real: dilui responsabilidade e multiplica chamada de rede sem ganhar coesão em troca. Por isso descartamos de propósito os itens a seguir como serviços independentes.</w:t>
      </w:r>
    </w:p>
    <w:p>
      <w:pPr>
        <w:pStyle w:val="ListBullet"/>
      </w:pPr>
      <w:r>
        <w:rPr>
          <w:b/>
        </w:rPr>
        <w:t>Categoria isolada.</w:t>
      </w:r>
      <w:r>
        <w:t xml:space="preserve"> Tem poucos valores e quase nunca muda. Transformá-la num serviço à parte criaria uma chamada de rede para responder a algo que uma tabela de referência dentro do </w:t>
      </w:r>
      <w:r>
        <w:rPr>
          <w:rFonts w:ascii="Consolas" w:hAnsi="Consolas"/>
          <w:sz w:val="18"/>
        </w:rPr>
        <w:t>ms-catalogo</w:t>
      </w:r>
      <w:r>
        <w:t xml:space="preserve"> resolve sozinha. É o caso do </w:t>
      </w:r>
      <w:r>
        <w:rPr>
          <w:rFonts w:ascii="Consolas" w:hAnsi="Consolas"/>
          <w:sz w:val="18"/>
        </w:rPr>
        <w:t>Categoria.cs</w:t>
      </w:r>
      <w:r>
        <w:t xml:space="preserve"> atual.</w:t>
      </w:r>
    </w:p>
    <w:p>
      <w:pPr>
        <w:pStyle w:val="ListBullet"/>
      </w:pPr>
      <w:r>
        <w:rPr>
          <w:b/>
        </w:rPr>
        <w:t>A genealogia do lote não é um contexto de negócio à parte.</w:t>
      </w:r>
      <w:r>
        <w:t xml:space="preserve"> É só uma faceta do dado, um relacionamento entre lotes, e cabe perfeitamente dentro do </w:t>
      </w:r>
      <w:r>
        <w:rPr>
          <w:rFonts w:ascii="Consolas" w:hAnsi="Consolas"/>
          <w:sz w:val="18"/>
        </w:rPr>
        <w:t>ms-lotes</w:t>
      </w:r>
      <w:r>
        <w:t>.</w:t>
      </w:r>
    </w:p>
    <w:p>
      <w:pPr>
        <w:pStyle w:val="ListBullet"/>
      </w:pPr>
      <w:r>
        <w:rPr>
          <w:b/>
        </w:rPr>
        <w:t>Camada de apresentação.</w:t>
      </w:r>
      <w:r>
        <w:t xml:space="preserve"> O monolito </w:t>
      </w:r>
      <w:r>
        <w:rPr>
          <w:rFonts w:ascii="Consolas" w:hAnsi="Consolas"/>
          <w:sz w:val="18"/>
        </w:rPr>
        <w:t>Web/src/main/java/br/com/fiap/vinheriaagnello/</w:t>
      </w:r>
      <w:r>
        <w:t xml:space="preserve"> (Servlet/JSP) e o app Android em </w:t>
      </w:r>
      <w:r>
        <w:rPr>
          <w:rFonts w:ascii="Consolas" w:hAnsi="Consolas"/>
          <w:sz w:val="18"/>
        </w:rPr>
        <w:t>Mobile/app/src/main/java/com/example/myapplication/</w:t>
      </w:r>
      <w:r>
        <w:t xml:space="preserve"> continuam existindo, só que agora como clientes dos microsserviços (ou, no limite, um BFF, sigla de </w:t>
      </w:r>
      <w:r>
        <w:rPr>
          <w:i/>
        </w:rPr>
        <w:t>Backend-for-Frontend</w:t>
      </w:r>
      <w:r>
        <w:t xml:space="preserve">). Como não são donos de regra de negócio nem de dado, não entram nesta lista. A validação de sessão que hoje está em </w:t>
      </w:r>
      <w:r>
        <w:rPr>
          <w:rFonts w:ascii="Consolas" w:hAnsi="Consolas"/>
          <w:sz w:val="18"/>
        </w:rPr>
        <w:t>AuthFilter.java</w:t>
      </w:r>
      <w:r>
        <w:t xml:space="preserve"> migra para o API Gateway.</w:t>
      </w:r>
    </w:p>
    <w:p>
      <w:pPr>
        <w:pStyle w:val="ListBullet"/>
      </w:pPr>
      <w:r>
        <w:rPr>
          <w:b/>
        </w:rPr>
        <w:t>O Node-RED segue fazendo o que já faz hoje:</w:t>
      </w:r>
      <w:r>
        <w:t xml:space="preserve"> traduzir e repassar telemetria do broker MQTT para o </w:t>
      </w:r>
      <w:r>
        <w:rPr>
          <w:rFonts w:ascii="Consolas" w:hAnsi="Consolas"/>
          <w:sz w:val="18"/>
        </w:rPr>
        <w:t>ms-qualidade</w:t>
      </w:r>
      <w:r>
        <w:t xml:space="preserve">, conforme </w:t>
      </w:r>
      <w:r>
        <w:rPr>
          <w:rFonts w:ascii="Consolas" w:hAnsi="Consolas"/>
          <w:sz w:val="18"/>
        </w:rPr>
        <w:t>MQTT/node_red_vinheria_flow.json</w:t>
      </w:r>
      <w:r>
        <w:t xml:space="preserve"> e </w:t>
      </w:r>
      <w:r>
        <w:rPr>
          <w:rFonts w:ascii="Consolas" w:hAnsi="Consolas"/>
          <w:sz w:val="18"/>
        </w:rPr>
        <w:t>MQTT/README_MQTT.md</w:t>
      </w:r>
      <w:r>
        <w:t>. Não tem domínio de negócio nem dado próprio, então continua sendo infraestrutura de integração, não um serviço.</w:t>
      </w:r>
    </w:p>
    <w:p>
      <w:pPr>
        <w:pStyle w:val="ListBullet"/>
      </w:pPr>
      <w:r>
        <w:rPr>
          <w:b/>
        </w:rPr>
        <w:t>Um `ms-relatorios` à parte.</w:t>
      </w:r>
      <w:r>
        <w:t xml:space="preserve"> Duplicaria a posse de um dado que já pertence ao </w:t>
      </w:r>
      <w:r>
        <w:rPr>
          <w:rFonts w:ascii="Consolas" w:hAnsi="Consolas"/>
          <w:sz w:val="18"/>
        </w:rPr>
        <w:t>ms-analytics</w:t>
      </w:r>
      <w:r>
        <w:t>. Um relatório é só uma forma de exibir a mesma informação analítica, não um contexto de negócio novo.</w:t>
      </w:r>
    </w:p>
    <w:p>
      <w:pPr>
        <w:pStyle w:val="ListBullet"/>
      </w:pPr>
      <w:r>
        <w:rPr>
          <w:b/>
        </w:rPr>
        <w:t>Separar o carrinho do `ms-pedidos` também não se justifica agora.</w:t>
      </w:r>
      <w:r>
        <w:t xml:space="preserve"> O carrinho é um estado efêmero, anterior à transação, do mesmo agregado do pedido; isolá-lo cedo criaria consistência distribuída sem ganho real, um YAGNI clássico nesta fase do projeto.</w:t>
      </w:r>
    </w:p>
    <w:p>
      <w:pPr>
        <w:pStyle w:val="Heading2"/>
      </w:pPr>
      <w:r>
        <w:t>4. Do repositório ao serviço</w:t>
      </w:r>
    </w:p>
    <w:p>
      <w:r>
        <w:t>Nada disso veio de teoria abstrata. Cada corte foi ancorado em algo que o grupo já tinha construído, e a tabela abaixo mostra de onde veio cada decisão, com o caminho do arquivo no repositório.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Artefato no repositório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Serviço herdeiro / papel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Web/src/VinheriaAgnello.Server/src/VinheriaAgnello.Domain/Entities/Vinho.cs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Categoria.cs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ms-catalogo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Web/src/VinheriaAgnello.Server/src/VinheriaAgnello.Domain/Entities/Lote.cs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ms-lotes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Web/src/VinheriaAgnello.Server/src/VinheriaAgnello.Domain/Entities/Fornecedor.cs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ms-fornecedores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Web/src/VinheriaAgnello.Server/src/VinheriaAgnello.Domain/Entities/TransacaoEstoque.cs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ms-estoque</w:t>
            </w:r>
            <w:r>
              <w:t xml:space="preserve"> (renomeado para </w:t>
            </w:r>
            <w:r>
              <w:rPr>
                <w:rFonts w:ascii="Consolas" w:hAnsi="Consolas"/>
                <w:sz w:val="18"/>
              </w:rPr>
              <w:t>MovimentacaoEstoque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Web/src/VinheriaAgnello.Server/src/VinheriaAgnello.API/Controllers/EstoqueController.cs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Program.cs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ms-estoque</w:t>
            </w:r>
            <w:r>
              <w:t xml:space="preserve"> (a API .NET de hoje é o serviço extraído)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Web/src/main/java/br/com/fiap/vinheriaagnello/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web/VitrineServlet.java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web/VinhoServlet.java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web/ClienteCadastroServlet.java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model/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repository/InMemoryDatabase.java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Cliente / BFF dos microsserviços; não é um serviço. Hoje concentra catálogo e clientes — consumidor futuro de </w:t>
            </w:r>
            <w:r>
              <w:rPr>
                <w:rFonts w:ascii="Consolas" w:hAnsi="Consolas"/>
                <w:sz w:val="18"/>
              </w:rPr>
              <w:t>ms-catalogo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ms-clientes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Mobile/app/src/main/java/com/example/myapplication/data/local/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AppDatabase.kt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entity/Produto.kt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dao/ProdutoDao.kt</w:t>
            </w:r>
            <w:r>
              <w:t xml:space="preserve">) e </w:t>
            </w:r>
            <w:r>
              <w:rPr>
                <w:rFonts w:ascii="Consolas" w:hAnsi="Consolas"/>
                <w:sz w:val="18"/>
              </w:rPr>
              <w:t>ui/estoque/</w:t>
            </w:r>
          </w:p>
        </w:tc>
        <w:tc>
          <w:tcPr>
            <w:tcW w:type="dxa" w:w="4320"/>
          </w:tcPr>
          <w:p>
            <w:r/>
            <w:r>
              <w:t xml:space="preserve">Cliente / BFF dos microsserviços; não é um serviço. Hoje é espelho local de estoque — consumidor futuro de </w:t>
            </w:r>
            <w:r>
              <w:rPr>
                <w:rFonts w:ascii="Consolas" w:hAnsi="Consolas"/>
                <w:sz w:val="18"/>
              </w:rPr>
              <w:t>ms-estoque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Arduino/VinheriaSensores/VinheriaSensores.ino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MQTT/node_red_vinheria_flow.json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MQTT/README_MQTT.md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ms-qualidade</w:t>
            </w:r>
            <w:r>
              <w:t xml:space="preserve"> (o Node-RED atua como gateway de integração)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Web/historico_vendas-vinheria_agnello.csv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Web/vinheria dashboard.twbx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ms-analytics</w:t>
            </w:r>
          </w:p>
        </w:tc>
      </w:tr>
    </w:tbl>
    <w:p>
      <w:pPr>
        <w:pStyle w:val="Heading2"/>
      </w:pPr>
      <w:r>
        <w:t>5. Reconciliação com a lista de partida</w:t>
      </w:r>
    </w:p>
    <w:p>
      <w:r>
        <w:t>A lista de partida do brief tinha 12 nomes de serviço. O resultado da análise:</w:t>
      </w:r>
    </w:p>
    <w:p>
      <w:pPr>
        <w:pStyle w:val="ListBullet"/>
      </w:pPr>
      <w:r>
        <w:rPr>
          <w:b/>
        </w:rPr>
        <w:t>Mantidos (12 de 12):</w:t>
      </w:r>
      <w:r>
        <w:t xml:space="preserve"> </w:t>
      </w:r>
      <w:r>
        <w:rPr>
          <w:rFonts w:ascii="Consolas" w:hAnsi="Consolas"/>
          <w:sz w:val="18"/>
        </w:rPr>
        <w:t>ms-catalogo</w:t>
      </w:r>
      <w:r>
        <w:t xml:space="preserve">, </w:t>
      </w:r>
      <w:r>
        <w:rPr>
          <w:rFonts w:ascii="Consolas" w:hAnsi="Consolas"/>
          <w:sz w:val="18"/>
        </w:rPr>
        <w:t>ms-producao</w:t>
      </w:r>
      <w:r>
        <w:t xml:space="preserve">, </w:t>
      </w:r>
      <w:r>
        <w:rPr>
          <w:rFonts w:ascii="Consolas" w:hAnsi="Consolas"/>
          <w:sz w:val="18"/>
        </w:rPr>
        <w:t>ms-lotes</w:t>
      </w:r>
      <w:r>
        <w:t xml:space="preserve">, </w:t>
      </w:r>
      <w:r>
        <w:rPr>
          <w:rFonts w:ascii="Consolas" w:hAnsi="Consolas"/>
          <w:sz w:val="18"/>
        </w:rPr>
        <w:t>ms-estoque</w:t>
      </w:r>
      <w:r>
        <w:t xml:space="preserve">, </w:t>
      </w:r>
      <w:r>
        <w:rPr>
          <w:rFonts w:ascii="Consolas" w:hAnsi="Consolas"/>
          <w:sz w:val="18"/>
        </w:rPr>
        <w:t>ms-pedidos</w:t>
      </w:r>
      <w:r>
        <w:t xml:space="preserve">, </w:t>
      </w:r>
      <w:r>
        <w:rPr>
          <w:rFonts w:ascii="Consolas" w:hAnsi="Consolas"/>
          <w:sz w:val="18"/>
        </w:rPr>
        <w:t>ms-fornecedores</w:t>
      </w:r>
      <w:r>
        <w:t xml:space="preserve">, </w:t>
      </w:r>
      <w:r>
        <w:rPr>
          <w:rFonts w:ascii="Consolas" w:hAnsi="Consolas"/>
          <w:sz w:val="18"/>
        </w:rPr>
        <w:t>ms-qualidade</w:t>
      </w:r>
      <w:r>
        <w:t xml:space="preserve">, </w:t>
      </w:r>
      <w:r>
        <w:rPr>
          <w:rFonts w:ascii="Consolas" w:hAnsi="Consolas"/>
          <w:sz w:val="18"/>
        </w:rPr>
        <w:t>ms-clientes</w:t>
      </w:r>
      <w:r>
        <w:t xml:space="preserve">, </w:t>
      </w:r>
      <w:r>
        <w:rPr>
          <w:rFonts w:ascii="Consolas" w:hAnsi="Consolas"/>
          <w:sz w:val="18"/>
        </w:rPr>
        <w:t>ms-pagamentos</w:t>
      </w:r>
      <w:r>
        <w:t xml:space="preserve">, </w:t>
      </w:r>
      <w:r>
        <w:rPr>
          <w:rFonts w:ascii="Consolas" w:hAnsi="Consolas"/>
          <w:sz w:val="18"/>
        </w:rPr>
        <w:t>ms-notificacoes</w:t>
      </w:r>
      <w:r>
        <w:t xml:space="preserve">, </w:t>
      </w:r>
      <w:r>
        <w:rPr>
          <w:rFonts w:ascii="Consolas" w:hAnsi="Consolas"/>
          <w:sz w:val="18"/>
        </w:rPr>
        <w:t>ms-identidade</w:t>
      </w:r>
      <w:r>
        <w:t xml:space="preserve">, </w:t>
      </w:r>
      <w:r>
        <w:rPr>
          <w:rFonts w:ascii="Consolas" w:hAnsi="Consolas"/>
          <w:sz w:val="18"/>
        </w:rPr>
        <w:t>ms-analytics</w:t>
      </w:r>
      <w:r>
        <w:t>. Nenhum nome foi reescrito, então a lista congelada no glossário do item 6 é a mesma que o diagrama (parte 2), os padrões (parte 3) e a comunicação (parte 4) devem usar.</w:t>
      </w:r>
    </w:p>
    <w:p>
      <w:pPr>
        <w:pStyle w:val="ListBullet"/>
      </w:pPr>
      <w:r>
        <w:rPr>
          <w:b/>
        </w:rPr>
        <w:t>Renomeados:</w:t>
      </w:r>
      <w:r>
        <w:t xml:space="preserve"> nenhum serviço. Uma entidade muda de nome no alvo: </w:t>
      </w:r>
      <w:r>
        <w:rPr>
          <w:rFonts w:ascii="Consolas" w:hAnsi="Consolas"/>
          <w:sz w:val="18"/>
        </w:rPr>
        <w:t>TransacaoEstoque</w:t>
      </w:r>
      <w:r>
        <w:t xml:space="preserve"> → </w:t>
      </w:r>
      <w:r>
        <w:rPr>
          <w:rFonts w:ascii="Consolas" w:hAnsi="Consolas"/>
          <w:sz w:val="18"/>
        </w:rPr>
        <w:t>MovimentacaoEstoque</w:t>
      </w:r>
      <w:r>
        <w:t>.</w:t>
      </w:r>
    </w:p>
    <w:p>
      <w:pPr>
        <w:pStyle w:val="ListBullet"/>
      </w:pPr>
      <w:r>
        <w:rPr>
          <w:b/>
        </w:rPr>
        <w:t>Cortados:</w:t>
      </w:r>
      <w:r>
        <w:t xml:space="preserve"> nenhum serviço. O carrinho foi avaliado e </w:t>
      </w:r>
      <w:r>
        <w:rPr>
          <w:b/>
        </w:rPr>
        <w:t>não</w:t>
      </w:r>
      <w:r>
        <w:t xml:space="preserve"> promovido a serviço; permanece como agregado dentro do </w:t>
      </w:r>
      <w:r>
        <w:rPr>
          <w:rFonts w:ascii="Consolas" w:hAnsi="Consolas"/>
          <w:sz w:val="18"/>
        </w:rPr>
        <w:t>ms-pedidos</w:t>
      </w:r>
      <w:r>
        <w:t xml:space="preserve"> (justificativa no item 3).</w:t>
      </w:r>
    </w:p>
    <w:p>
      <w:pPr>
        <w:pStyle w:val="ListBullet"/>
      </w:pPr>
      <w:r>
        <w:rPr>
          <w:b/>
        </w:rPr>
        <w:t>Acrescentados:</w:t>
      </w:r>
      <w:r>
        <w:t xml:space="preserve"> nenhum serviço novo. O que a análise acrescentou em relação à lista de partida foi a </w:t>
      </w:r>
      <w:r>
        <w:rPr>
          <w:b/>
        </w:rPr>
        <w:t>classificação núcleo/satélite</w:t>
      </w:r>
      <w:r>
        <w:t xml:space="preserve"> e a separação explícita entre </w:t>
      </w:r>
      <w:r>
        <w:rPr>
          <w:rFonts w:ascii="Consolas" w:hAnsi="Consolas"/>
          <w:sz w:val="18"/>
        </w:rPr>
        <w:t>ms-clientes</w:t>
      </w:r>
      <w:r>
        <w:t xml:space="preserve"> (dado de cliente e LGPD) e </w:t>
      </w:r>
      <w:r>
        <w:rPr>
          <w:rFonts w:ascii="Consolas" w:hAnsi="Consolas"/>
          <w:sz w:val="18"/>
        </w:rPr>
        <w:t>ms-identidade</w:t>
      </w:r>
      <w:r>
        <w:t xml:space="preserve"> (credencial e RBAC), que na lista apareciam apenas como itens soltos.</w:t>
      </w:r>
    </w:p>
    <w:p>
      <w:pPr>
        <w:pStyle w:val="ListBullet"/>
      </w:pPr>
      <w:r>
        <w:rPr>
          <w:b/>
        </w:rPr>
        <w:t>Contagem:</w:t>
      </w:r>
      <w:r>
        <w:t xml:space="preserve"> 12 serviços (9 núcleo + 3 satélites). A divergência em relação ao piso literal de 10 núcleos está registrada no item 1.2 e vai para a decisão do grupo.</w:t>
      </w:r>
    </w:p>
    <w:p>
      <w:pPr>
        <w:pStyle w:val="Heading2"/>
      </w:pPr>
      <w:r>
        <w:t>6. Glossário de nomes</w:t>
      </w:r>
    </w:p>
    <w:p>
      <w:r>
        <w:t>Esta é a nomenclatura definitiva dos serviços. Os itens 2, 3 e 4 desta atividade, o diagrama de contexto e a comunicação entre serviços devem usar exatamente estes nomes.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Serviço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Classificação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ms-catalogo</w:t>
            </w:r>
          </w:p>
        </w:tc>
        <w:tc>
          <w:tcPr>
            <w:tcW w:type="dxa" w:w="4320"/>
          </w:tcPr>
          <w:p>
            <w:r/>
            <w:r>
              <w:t>Núcleo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ms-producao</w:t>
            </w:r>
          </w:p>
        </w:tc>
        <w:tc>
          <w:tcPr>
            <w:tcW w:type="dxa" w:w="4320"/>
          </w:tcPr>
          <w:p>
            <w:r/>
            <w:r>
              <w:t>Núcleo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ms-lotes</w:t>
            </w:r>
          </w:p>
        </w:tc>
        <w:tc>
          <w:tcPr>
            <w:tcW w:type="dxa" w:w="4320"/>
          </w:tcPr>
          <w:p>
            <w:r/>
            <w:r>
              <w:t>Núcleo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ms-estoque</w:t>
            </w:r>
          </w:p>
        </w:tc>
        <w:tc>
          <w:tcPr>
            <w:tcW w:type="dxa" w:w="4320"/>
          </w:tcPr>
          <w:p>
            <w:r/>
            <w:r>
              <w:t>Núcleo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ms-pedidos</w:t>
            </w:r>
          </w:p>
        </w:tc>
        <w:tc>
          <w:tcPr>
            <w:tcW w:type="dxa" w:w="4320"/>
          </w:tcPr>
          <w:p>
            <w:r/>
            <w:r>
              <w:t>Núcleo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ms-fornecedores</w:t>
            </w:r>
          </w:p>
        </w:tc>
        <w:tc>
          <w:tcPr>
            <w:tcW w:type="dxa" w:w="4320"/>
          </w:tcPr>
          <w:p>
            <w:r/>
            <w:r>
              <w:t>Núcleo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ms-qualidade</w:t>
            </w:r>
          </w:p>
        </w:tc>
        <w:tc>
          <w:tcPr>
            <w:tcW w:type="dxa" w:w="4320"/>
          </w:tcPr>
          <w:p>
            <w:r/>
            <w:r>
              <w:t>Núcleo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ms-clientes</w:t>
            </w:r>
          </w:p>
        </w:tc>
        <w:tc>
          <w:tcPr>
            <w:tcW w:type="dxa" w:w="4320"/>
          </w:tcPr>
          <w:p>
            <w:r/>
            <w:r>
              <w:t>Núcleo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ms-pagamentos</w:t>
            </w:r>
          </w:p>
        </w:tc>
        <w:tc>
          <w:tcPr>
            <w:tcW w:type="dxa" w:w="4320"/>
          </w:tcPr>
          <w:p>
            <w:r/>
            <w:r>
              <w:t>Núcleo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ms-identidade</w:t>
            </w:r>
          </w:p>
        </w:tc>
        <w:tc>
          <w:tcPr>
            <w:tcW w:type="dxa" w:w="4320"/>
          </w:tcPr>
          <w:p>
            <w:r/>
            <w:r>
              <w:t>Satélite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ms-notificacoes</w:t>
            </w:r>
          </w:p>
        </w:tc>
        <w:tc>
          <w:tcPr>
            <w:tcW w:type="dxa" w:w="4320"/>
          </w:tcPr>
          <w:p>
            <w:r/>
            <w:r>
              <w:t>Satélite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ms-analytics</w:t>
            </w:r>
          </w:p>
        </w:tc>
        <w:tc>
          <w:tcPr>
            <w:tcW w:type="dxa" w:w="4320"/>
          </w:tcPr>
          <w:p>
            <w:r/>
            <w:r>
              <w:t>Satélite</w:t>
            </w:r>
          </w:p>
        </w:tc>
      </w:tr>
    </w:tbl>
    <w:p>
      <w:r>
        <w:t xml:space="preserve">Tópicos de evento seguem a lista já escrita na parte 5, para não haver duas grafias: </w:t>
      </w:r>
      <w:r>
        <w:rPr>
          <w:rFonts w:ascii="Consolas" w:hAnsi="Consolas"/>
          <w:sz w:val="18"/>
        </w:rPr>
        <w:t>pedido.criado</w:t>
      </w:r>
      <w:r>
        <w:t xml:space="preserve">, </w:t>
      </w:r>
      <w:r>
        <w:rPr>
          <w:rFonts w:ascii="Consolas" w:hAnsi="Consolas"/>
          <w:sz w:val="18"/>
        </w:rPr>
        <w:t>estoque.reservado</w:t>
      </w:r>
      <w:r>
        <w:t xml:space="preserve">, </w:t>
      </w:r>
      <w:r>
        <w:rPr>
          <w:rFonts w:ascii="Consolas" w:hAnsi="Consolas"/>
          <w:sz w:val="18"/>
        </w:rPr>
        <w:t>pagamento.aprovado</w:t>
      </w:r>
      <w:r>
        <w:t xml:space="preserve">, </w:t>
      </w:r>
      <w:r>
        <w:rPr>
          <w:rFonts w:ascii="Consolas" w:hAnsi="Consolas"/>
          <w:sz w:val="18"/>
        </w:rPr>
        <w:t>pagamento.recusado</w:t>
      </w:r>
      <w:r>
        <w:t xml:space="preserve">, </w:t>
      </w:r>
      <w:r>
        <w:rPr>
          <w:rFonts w:ascii="Consolas" w:hAnsi="Consolas"/>
          <w:sz w:val="18"/>
        </w:rPr>
        <w:t>lote.criado</w:t>
      </w:r>
      <w:r>
        <w:t xml:space="preserve">, </w:t>
      </w:r>
      <w:r>
        <w:rPr>
          <w:rFonts w:ascii="Consolas" w:hAnsi="Consolas"/>
          <w:sz w:val="18"/>
        </w:rPr>
        <w:t>qualidade.leitura</w:t>
      </w:r>
      <w:r>
        <w:t xml:space="preserve">, </w:t>
      </w:r>
      <w:r>
        <w:rPr>
          <w:rFonts w:ascii="Consolas" w:hAnsi="Consolas"/>
          <w:sz w:val="18"/>
        </w:rPr>
        <w:t>qualidade.alerta</w:t>
      </w:r>
      <w:r>
        <w:t xml:space="preserve">, </w:t>
      </w:r>
      <w:r>
        <w:rPr>
          <w:rFonts w:ascii="Consolas" w:hAnsi="Consolas"/>
          <w:sz w:val="18"/>
        </w:rPr>
        <w:t>notificacao.enviar</w:t>
      </w:r>
      <w:r>
        <w:t xml:space="preserve"> e </w:t>
      </w:r>
      <w:r>
        <w:rPr>
          <w:rFonts w:ascii="Consolas" w:hAnsi="Consolas"/>
          <w:sz w:val="18"/>
        </w:rPr>
        <w:t>cliente.anonimizado</w:t>
      </w:r>
      <w:r>
        <w:t xml:space="preserve">. Formato </w:t>
      </w:r>
      <w:r>
        <w:rPr>
          <w:rFonts w:ascii="Consolas" w:hAnsi="Consolas"/>
          <w:sz w:val="18"/>
        </w:rPr>
        <w:t>&lt;dominio&gt;.&lt;evento&gt;</w:t>
      </w:r>
      <w:r>
        <w:t xml:space="preserve">, minúsculo, sem prefixo de turma; fila morta como </w:t>
      </w:r>
      <w:r>
        <w:rPr>
          <w:rFonts w:ascii="Consolas" w:hAnsi="Consolas"/>
          <w:sz w:val="18"/>
        </w:rPr>
        <w:t>&lt;topico&gt;.DLQ</w:t>
      </w:r>
      <w:r>
        <w:t>.</w:t>
      </w:r>
    </w:p>
    <w:p>
      <w:pPr>
        <w:pStyle w:val="Heading2"/>
      </w:pPr>
      <w:r>
        <w:t>7. Pontos a confirmar com o grupo</w:t>
      </w:r>
    </w:p>
    <w:p>
      <w:r>
        <w:t>Registrado em 22/09/2026, antes do início das partes 2 e 3:</w:t>
      </w:r>
    </w:p>
    <w:p>
      <w:pPr>
        <w:pStyle w:val="ListBullet"/>
      </w:pPr>
      <w:r>
        <w:rPr>
          <w:b/>
        </w:rPr>
        <w:t>Evento `recebimento.confirmado`</w:t>
      </w:r>
      <w:r>
        <w:t xml:space="preserve"> — proposto neste item para ligar o recebimento de compra (</w:t>
      </w:r>
      <w:r>
        <w:rPr>
          <w:rFonts w:ascii="Consolas" w:hAnsi="Consolas"/>
          <w:sz w:val="18"/>
        </w:rPr>
        <w:t>ms-fornecedores</w:t>
      </w:r>
      <w:r>
        <w:t xml:space="preserve">) ao </w:t>
      </w:r>
      <w:r>
        <w:rPr>
          <w:rFonts w:ascii="Consolas" w:hAnsi="Consolas"/>
          <w:sz w:val="18"/>
        </w:rPr>
        <w:t>ms-estoque</w:t>
      </w:r>
      <w:r>
        <w:t xml:space="preserve">. Ele </w:t>
      </w:r>
      <w:r>
        <w:rPr>
          <w:b/>
        </w:rPr>
        <w:t>não</w:t>
      </w:r>
      <w:r>
        <w:t xml:space="preserve"> está na lista de tópicos já escrita na parte 5; a confirmação do nome fica com a parte 4 (comunicação entre serviços).</w:t>
      </w:r>
    </w:p>
    <w:p>
      <w:pPr>
        <w:pStyle w:val="ListBullet"/>
      </w:pPr>
      <w:r>
        <w:rPr>
          <w:b/>
        </w:rPr>
        <w:t>Contagem de serviços</w:t>
      </w:r>
      <w:r>
        <w:t xml:space="preserve"> — 9 de núcleo e 3 satélites, total de 12 (item 1.2). Se o grupo decidir levar o núcleo a 10, o candidato é extrair o carrinho do </w:t>
      </w:r>
      <w:r>
        <w:rPr>
          <w:rFonts w:ascii="Consolas" w:hAnsi="Consolas"/>
          <w:sz w:val="18"/>
        </w:rPr>
        <w:t>ms-pedidos</w:t>
      </w:r>
      <w:r>
        <w:t>.</w:t>
      </w:r>
    </w:p>
    <w:p>
      <w:pPr>
        <w:pStyle w:val="ListBullet"/>
      </w:pPr>
      <w:r>
        <w:rPr>
          <w:b/>
        </w:rPr>
        <w:t>`MovimentacaoEstoque`</w:t>
      </w:r>
      <w:r>
        <w:t xml:space="preserve"> — nome canônico da entidade que hoje existe como </w:t>
      </w:r>
      <w:r>
        <w:rPr>
          <w:rFonts w:ascii="Consolas" w:hAnsi="Consolas"/>
          <w:sz w:val="18"/>
        </w:rPr>
        <w:t>TransacaoEstoque.cs</w:t>
      </w:r>
      <w:r>
        <w:t>; a parte 3 usa este nome no Database per Service.</w:t>
      </w:r>
    </w:p>
    <w:p>
      <w:pPr>
        <w:pStyle w:val="Heading2"/>
      </w:pPr>
      <w:r>
        <w:t>Registro de revisão</w:t>
      </w:r>
    </w:p>
    <w:p>
      <w:pPr>
        <w:pStyle w:val="ListBullet"/>
      </w:pPr>
      <w:r>
        <w:rPr>
          <w:b/>
        </w:rPr>
        <w:t>v1.0 (21/09/2026)</w:t>
      </w:r>
      <w:r>
        <w:t xml:space="preserve"> — conteúdo original do item 1, entregue em PDF (Roger Viana Gonçalves de Alencar).</w:t>
      </w:r>
    </w:p>
    <w:p>
      <w:pPr>
        <w:pStyle w:val="ListBullet"/>
      </w:pPr>
      <w:r>
        <w:rPr>
          <w:b/>
        </w:rPr>
        <w:t>v1.1 (22/09/2026)</w:t>
      </w:r>
      <w:r>
        <w:t xml:space="preserve"> — revisão de consolidação (Yasmin Kimura, Pessoa 5): reconciliação com a lista de partida, definição de posse de </w:t>
      </w:r>
      <w:r>
        <w:rPr>
          <w:rFonts w:ascii="Consolas" w:hAnsi="Consolas"/>
          <w:sz w:val="18"/>
        </w:rPr>
        <w:t>Safra</w:t>
      </w:r>
      <w:r>
        <w:t xml:space="preserve"> e de </w:t>
      </w:r>
      <w:r>
        <w:rPr>
          <w:rFonts w:ascii="Consolas" w:hAnsi="Consolas"/>
          <w:sz w:val="18"/>
        </w:rPr>
        <w:t>MovimentacaoEstoque</w:t>
      </w:r>
      <w:r>
        <w:t xml:space="preserve">, quem escreve o movimento de entrada do recebimento, fronteiras justificadas para </w:t>
      </w:r>
      <w:r>
        <w:rPr>
          <w:rFonts w:ascii="Consolas" w:hAnsi="Consolas"/>
          <w:sz w:val="18"/>
        </w:rPr>
        <w:t>ms-clientes</w:t>
      </w:r>
      <w:r>
        <w:t xml:space="preserve">, </w:t>
      </w:r>
      <w:r>
        <w:rPr>
          <w:rFonts w:ascii="Consolas" w:hAnsi="Consolas"/>
          <w:sz w:val="18"/>
        </w:rPr>
        <w:t>ms-fornecedores</w:t>
      </w:r>
      <w:r>
        <w:t xml:space="preserve"> e </w:t>
      </w:r>
      <w:r>
        <w:rPr>
          <w:rFonts w:ascii="Consolas" w:hAnsi="Consolas"/>
          <w:sz w:val="18"/>
        </w:rPr>
        <w:t>ms-analytics</w:t>
      </w:r>
      <w:r>
        <w:t xml:space="preserve">, caminhos completos dos arquivos do repositório e conversão para </w:t>
      </w:r>
      <w:r>
        <w:rPr>
          <w:rFonts w:ascii="Consolas" w:hAnsi="Consolas"/>
          <w:sz w:val="18"/>
        </w:rPr>
        <w:t>P1_servicos.md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