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190B2" w14:textId="77777777" w:rsidR="00F163E4" w:rsidRPr="00F163E4" w:rsidRDefault="00F163E4" w:rsidP="00F163E4">
      <w:r w:rsidRPr="00F163E4">
        <w:rPr>
          <w:b/>
          <w:bCs/>
        </w:rPr>
        <w:t>Overall Reach &amp; Coverage</w:t>
      </w:r>
    </w:p>
    <w:p w14:paraId="2C88FB12" w14:textId="77777777" w:rsidR="00F163E4" w:rsidRPr="00F163E4" w:rsidRDefault="00F163E4" w:rsidP="00F163E4"/>
    <w:p w14:paraId="1E14A580" w14:textId="792C8619" w:rsidR="00F163E4" w:rsidRPr="00F163E4" w:rsidRDefault="00F163E4" w:rsidP="00F163E4">
      <w:pPr>
        <w:numPr>
          <w:ilvl w:val="0"/>
          <w:numId w:val="1"/>
        </w:numPr>
      </w:pPr>
      <w:r w:rsidRPr="00F163E4">
        <w:t>Total</w:t>
      </w:r>
      <w:r>
        <w:t xml:space="preserve"> </w:t>
      </w:r>
      <w:r w:rsidRPr="00F163E4">
        <w:t xml:space="preserve">of </w:t>
      </w:r>
      <w:r w:rsidRPr="00F163E4">
        <w:rPr>
          <w:b/>
          <w:bCs/>
        </w:rPr>
        <w:t>9,551 restaurants</w:t>
      </w:r>
      <w:r w:rsidRPr="00F163E4">
        <w:t xml:space="preserve"> analyzed.</w:t>
      </w:r>
    </w:p>
    <w:p w14:paraId="191DEFAD" w14:textId="77777777" w:rsidR="00F163E4" w:rsidRPr="00F163E4" w:rsidRDefault="00F163E4" w:rsidP="00F163E4">
      <w:pPr>
        <w:numPr>
          <w:ilvl w:val="0"/>
          <w:numId w:val="1"/>
        </w:numPr>
      </w:pPr>
      <w:r w:rsidRPr="00F163E4">
        <w:t xml:space="preserve">Presence in </w:t>
      </w:r>
      <w:r w:rsidRPr="00F163E4">
        <w:rPr>
          <w:b/>
          <w:bCs/>
        </w:rPr>
        <w:t>15 countries</w:t>
      </w:r>
      <w:r w:rsidRPr="00F163E4">
        <w:t xml:space="preserve"> and </w:t>
      </w:r>
      <w:r w:rsidRPr="00F163E4">
        <w:rPr>
          <w:b/>
          <w:bCs/>
        </w:rPr>
        <w:t>141 cities</w:t>
      </w:r>
      <w:r w:rsidRPr="00F163E4">
        <w:t>, reflecting Zomato’s wide global footprint.</w:t>
      </w:r>
    </w:p>
    <w:p w14:paraId="2C8080F6" w14:textId="1F6D86F1" w:rsidR="00F163E4" w:rsidRPr="00F163E4" w:rsidRDefault="00F163E4" w:rsidP="00F163E4">
      <w:pPr>
        <w:numPr>
          <w:ilvl w:val="0"/>
          <w:numId w:val="1"/>
        </w:numPr>
      </w:pPr>
      <w:r>
        <w:rPr>
          <w:u w:val="single"/>
        </w:rPr>
        <w:t>The strongest</w:t>
      </w:r>
      <w:r w:rsidRPr="00F163E4">
        <w:rPr>
          <w:u w:val="single"/>
        </w:rPr>
        <w:t xml:space="preserve"> concentration of restaurants is in </w:t>
      </w:r>
      <w:r w:rsidRPr="00F163E4">
        <w:rPr>
          <w:b/>
          <w:bCs/>
          <w:u w:val="single"/>
        </w:rPr>
        <w:t>India</w:t>
      </w:r>
      <w:r w:rsidRPr="00F163E4">
        <w:rPr>
          <w:u w:val="single"/>
        </w:rPr>
        <w:t>.</w:t>
      </w:r>
    </w:p>
    <w:p w14:paraId="58E03149" w14:textId="77777777" w:rsidR="00F163E4" w:rsidRPr="00F163E4" w:rsidRDefault="00F163E4" w:rsidP="00F163E4"/>
    <w:p w14:paraId="2BCFA825" w14:textId="77777777" w:rsidR="00F163E4" w:rsidRPr="00F163E4" w:rsidRDefault="00F163E4" w:rsidP="00F163E4">
      <w:r w:rsidRPr="00F163E4">
        <w:rPr>
          <w:b/>
          <w:bCs/>
        </w:rPr>
        <w:t>City-Wise Distribution</w:t>
      </w:r>
    </w:p>
    <w:p w14:paraId="58725920" w14:textId="77777777" w:rsidR="00F163E4" w:rsidRPr="00F163E4" w:rsidRDefault="00F163E4" w:rsidP="00F163E4"/>
    <w:p w14:paraId="35D1F79E" w14:textId="77777777" w:rsidR="00F163E4" w:rsidRPr="00F163E4" w:rsidRDefault="00F163E4" w:rsidP="00F163E4">
      <w:pPr>
        <w:numPr>
          <w:ilvl w:val="0"/>
          <w:numId w:val="2"/>
        </w:numPr>
      </w:pPr>
      <w:r w:rsidRPr="00F163E4">
        <w:rPr>
          <w:b/>
          <w:bCs/>
        </w:rPr>
        <w:t>New Delhi</w:t>
      </w:r>
      <w:r w:rsidRPr="00F163E4">
        <w:t xml:space="preserve"> stands out significantly with </w:t>
      </w:r>
      <w:r w:rsidRPr="00F163E4">
        <w:rPr>
          <w:b/>
          <w:bCs/>
        </w:rPr>
        <w:t>5,500+ restaurants</w:t>
      </w:r>
      <w:r w:rsidRPr="00F163E4">
        <w:t>, showing it is a key market.</w:t>
      </w:r>
    </w:p>
    <w:p w14:paraId="53153DD1" w14:textId="77777777" w:rsidR="00F163E4" w:rsidRPr="00F163E4" w:rsidRDefault="00F163E4" w:rsidP="00F163E4">
      <w:pPr>
        <w:numPr>
          <w:ilvl w:val="0"/>
          <w:numId w:val="2"/>
        </w:numPr>
      </w:pPr>
      <w:r w:rsidRPr="00F163E4">
        <w:rPr>
          <w:b/>
          <w:bCs/>
        </w:rPr>
        <w:t>Gurgaon</w:t>
      </w:r>
      <w:r w:rsidRPr="00F163E4">
        <w:t xml:space="preserve"> and </w:t>
      </w:r>
      <w:r w:rsidRPr="00F163E4">
        <w:rPr>
          <w:b/>
          <w:bCs/>
        </w:rPr>
        <w:t>Noida</w:t>
      </w:r>
      <w:r w:rsidRPr="00F163E4">
        <w:t xml:space="preserve"> are secondary hubs, each with around </w:t>
      </w:r>
      <w:r w:rsidRPr="00F163E4">
        <w:rPr>
          <w:b/>
          <w:bCs/>
        </w:rPr>
        <w:t>1,100 restaurants</w:t>
      </w:r>
      <w:r w:rsidRPr="00F163E4">
        <w:t>.</w:t>
      </w:r>
    </w:p>
    <w:p w14:paraId="70F15776" w14:textId="77777777" w:rsidR="00F163E4" w:rsidRPr="00F163E4" w:rsidRDefault="00F163E4" w:rsidP="00F163E4">
      <w:pPr>
        <w:numPr>
          <w:ilvl w:val="0"/>
          <w:numId w:val="2"/>
        </w:numPr>
      </w:pPr>
      <w:r w:rsidRPr="00F163E4">
        <w:t xml:space="preserve">Other cities like </w:t>
      </w:r>
      <w:r w:rsidRPr="00F163E4">
        <w:rPr>
          <w:b/>
          <w:bCs/>
        </w:rPr>
        <w:t>Faridabad</w:t>
      </w:r>
      <w:r w:rsidRPr="00F163E4">
        <w:t xml:space="preserve">, </w:t>
      </w:r>
      <w:r w:rsidRPr="00F163E4">
        <w:rPr>
          <w:b/>
          <w:bCs/>
        </w:rPr>
        <w:t>Ghaziabad</w:t>
      </w:r>
      <w:r w:rsidRPr="00F163E4">
        <w:t xml:space="preserve">, and </w:t>
      </w:r>
      <w:r w:rsidRPr="00F163E4">
        <w:rPr>
          <w:b/>
          <w:bCs/>
        </w:rPr>
        <w:t>Ahmedabad</w:t>
      </w:r>
      <w:r w:rsidRPr="00F163E4">
        <w:t xml:space="preserve"> have notably fewer outlets.</w:t>
      </w:r>
    </w:p>
    <w:p w14:paraId="75B53037" w14:textId="77777777" w:rsidR="00F163E4" w:rsidRPr="00F163E4" w:rsidRDefault="00F163E4" w:rsidP="00F163E4">
      <w:pPr>
        <w:numPr>
          <w:ilvl w:val="0"/>
          <w:numId w:val="2"/>
        </w:numPr>
      </w:pPr>
      <w:r w:rsidRPr="00F163E4">
        <w:t>This suggests a high urban concentration, with rural or tier-2 city presence being relatively low.</w:t>
      </w:r>
    </w:p>
    <w:p w14:paraId="4307B2FA" w14:textId="77777777" w:rsidR="00F163E4" w:rsidRPr="00F163E4" w:rsidRDefault="00F163E4" w:rsidP="00F163E4"/>
    <w:p w14:paraId="196A0A8C" w14:textId="77777777" w:rsidR="00F163E4" w:rsidRPr="00F163E4" w:rsidRDefault="00F163E4" w:rsidP="00F163E4">
      <w:r w:rsidRPr="00F163E4">
        <w:rPr>
          <w:b/>
          <w:bCs/>
        </w:rPr>
        <w:t>Cuisine Preferences</w:t>
      </w:r>
    </w:p>
    <w:p w14:paraId="14235BA7" w14:textId="77777777" w:rsidR="00F163E4" w:rsidRPr="00F163E4" w:rsidRDefault="00F163E4" w:rsidP="00F163E4"/>
    <w:p w14:paraId="2B7FD163" w14:textId="77777777" w:rsidR="00F163E4" w:rsidRPr="00F163E4" w:rsidRDefault="00F163E4" w:rsidP="00F163E4">
      <w:pPr>
        <w:numPr>
          <w:ilvl w:val="0"/>
          <w:numId w:val="3"/>
        </w:numPr>
      </w:pPr>
      <w:r w:rsidRPr="00F163E4">
        <w:rPr>
          <w:b/>
          <w:bCs/>
        </w:rPr>
        <w:t>North Indian</w:t>
      </w:r>
      <w:r w:rsidRPr="00F163E4">
        <w:t xml:space="preserve"> is the most popular cuisine by count (</w:t>
      </w:r>
      <w:r w:rsidRPr="00F163E4">
        <w:rPr>
          <w:b/>
          <w:bCs/>
        </w:rPr>
        <w:t>936 restaurants</w:t>
      </w:r>
      <w:r w:rsidRPr="00F163E4">
        <w:t>), followed by:</w:t>
      </w:r>
    </w:p>
    <w:p w14:paraId="619093E3" w14:textId="77777777" w:rsidR="00F163E4" w:rsidRPr="00F163E4" w:rsidRDefault="00F163E4" w:rsidP="00F163E4">
      <w:pPr>
        <w:numPr>
          <w:ilvl w:val="0"/>
          <w:numId w:val="3"/>
        </w:numPr>
      </w:pPr>
      <w:r w:rsidRPr="00F163E4">
        <w:t>North Indian + Mughlai (</w:t>
      </w:r>
      <w:r w:rsidRPr="00F163E4">
        <w:rPr>
          <w:b/>
          <w:bCs/>
        </w:rPr>
        <w:t>511 restaurants</w:t>
      </w:r>
      <w:r w:rsidRPr="00F163E4">
        <w:t>)</w:t>
      </w:r>
    </w:p>
    <w:p w14:paraId="02864BE7" w14:textId="77777777" w:rsidR="00F163E4" w:rsidRPr="00F163E4" w:rsidRDefault="00F163E4" w:rsidP="00F163E4">
      <w:pPr>
        <w:numPr>
          <w:ilvl w:val="0"/>
          <w:numId w:val="3"/>
        </w:numPr>
      </w:pPr>
      <w:r w:rsidRPr="00F163E4">
        <w:rPr>
          <w:b/>
          <w:bCs/>
        </w:rPr>
        <w:t>Chinese</w:t>
      </w:r>
      <w:r w:rsidRPr="00F163E4">
        <w:t xml:space="preserve"> (</w:t>
      </w:r>
      <w:r w:rsidRPr="00F163E4">
        <w:rPr>
          <w:b/>
          <w:bCs/>
        </w:rPr>
        <w:t>354 restaurants</w:t>
      </w:r>
      <w:r w:rsidRPr="00F163E4">
        <w:t>)</w:t>
      </w:r>
    </w:p>
    <w:p w14:paraId="751A87A0" w14:textId="77777777" w:rsidR="00F163E4" w:rsidRPr="00F163E4" w:rsidRDefault="00F163E4" w:rsidP="00F163E4">
      <w:pPr>
        <w:numPr>
          <w:ilvl w:val="0"/>
          <w:numId w:val="3"/>
        </w:numPr>
      </w:pPr>
      <w:r w:rsidRPr="00F163E4">
        <w:rPr>
          <w:b/>
          <w:bCs/>
        </w:rPr>
        <w:t>Fast Food</w:t>
      </w:r>
      <w:r w:rsidRPr="00F163E4">
        <w:t xml:space="preserve"> (</w:t>
      </w:r>
      <w:r w:rsidRPr="00F163E4">
        <w:rPr>
          <w:b/>
          <w:bCs/>
        </w:rPr>
        <w:t>354 restaurants</w:t>
      </w:r>
      <w:r w:rsidRPr="00F163E4">
        <w:t>)</w:t>
      </w:r>
    </w:p>
    <w:p w14:paraId="15D1F380" w14:textId="77777777" w:rsidR="00F163E4" w:rsidRPr="00F163E4" w:rsidRDefault="00F163E4" w:rsidP="00F163E4">
      <w:pPr>
        <w:numPr>
          <w:ilvl w:val="0"/>
          <w:numId w:val="3"/>
        </w:numPr>
      </w:pPr>
      <w:r w:rsidRPr="00F163E4">
        <w:rPr>
          <w:b/>
          <w:bCs/>
        </w:rPr>
        <w:t>Cafe</w:t>
      </w:r>
      <w:r w:rsidRPr="00F163E4">
        <w:t xml:space="preserve"> (</w:t>
      </w:r>
      <w:r w:rsidRPr="00F163E4">
        <w:rPr>
          <w:b/>
          <w:bCs/>
        </w:rPr>
        <w:t>299 restaurants</w:t>
      </w:r>
      <w:r w:rsidRPr="00F163E4">
        <w:t>)</w:t>
      </w:r>
    </w:p>
    <w:p w14:paraId="32772EF9" w14:textId="77777777" w:rsidR="00F163E4" w:rsidRPr="00F163E4" w:rsidRDefault="00F163E4" w:rsidP="00F163E4"/>
    <w:p w14:paraId="2151C626" w14:textId="77777777" w:rsidR="00F163E4" w:rsidRPr="00F163E4" w:rsidRDefault="00F163E4" w:rsidP="00F163E4">
      <w:pPr>
        <w:numPr>
          <w:ilvl w:val="0"/>
          <w:numId w:val="4"/>
        </w:numPr>
      </w:pPr>
      <w:proofErr w:type="gramStart"/>
      <w:r w:rsidRPr="00F163E4">
        <w:t>Indicates</w:t>
      </w:r>
      <w:proofErr w:type="gramEnd"/>
      <w:r w:rsidRPr="00F163E4">
        <w:t xml:space="preserve"> strong customer demand for traditional and quick-service foods.</w:t>
      </w:r>
    </w:p>
    <w:p w14:paraId="592B626A" w14:textId="77777777" w:rsidR="00F163E4" w:rsidRPr="00F163E4" w:rsidRDefault="00F163E4" w:rsidP="00F163E4"/>
    <w:p w14:paraId="706B68B4" w14:textId="77777777" w:rsidR="00F163E4" w:rsidRPr="00F163E4" w:rsidRDefault="00F163E4" w:rsidP="00F163E4">
      <w:r w:rsidRPr="00F163E4">
        <w:rPr>
          <w:b/>
          <w:bCs/>
        </w:rPr>
        <w:t>Brand &amp; Rating Performance</w:t>
      </w:r>
    </w:p>
    <w:p w14:paraId="639CA651" w14:textId="77777777" w:rsidR="00F163E4" w:rsidRPr="00F163E4" w:rsidRDefault="00F163E4" w:rsidP="00F163E4"/>
    <w:p w14:paraId="0BA5650B" w14:textId="77777777" w:rsidR="00F163E4" w:rsidRPr="00F163E4" w:rsidRDefault="00F163E4" w:rsidP="00F163E4">
      <w:pPr>
        <w:numPr>
          <w:ilvl w:val="0"/>
          <w:numId w:val="5"/>
        </w:numPr>
      </w:pPr>
      <w:r w:rsidRPr="00F163E4">
        <w:lastRenderedPageBreak/>
        <w:t xml:space="preserve">Restaurants like </w:t>
      </w:r>
      <w:r w:rsidRPr="00F163E4">
        <w:rPr>
          <w:b/>
          <w:bCs/>
        </w:rPr>
        <w:t>Barista</w:t>
      </w:r>
      <w:r w:rsidRPr="00F163E4">
        <w:t xml:space="preserve">, </w:t>
      </w:r>
      <w:r w:rsidRPr="00F163E4">
        <w:rPr>
          <w:b/>
          <w:bCs/>
        </w:rPr>
        <w:t>Baskin Robbins</w:t>
      </w:r>
      <w:r w:rsidRPr="00F163E4">
        <w:t xml:space="preserve">, and </w:t>
      </w:r>
      <w:proofErr w:type="spellStart"/>
      <w:r w:rsidRPr="00F163E4">
        <w:rPr>
          <w:b/>
          <w:bCs/>
        </w:rPr>
        <w:t>Domino's</w:t>
      </w:r>
      <w:proofErr w:type="spellEnd"/>
      <w:r w:rsidRPr="00F163E4">
        <w:t xml:space="preserve"> have relatively </w:t>
      </w:r>
      <w:r w:rsidRPr="00F163E4">
        <w:rPr>
          <w:b/>
          <w:bCs/>
        </w:rPr>
        <w:t>high average ratings</w:t>
      </w:r>
      <w:r w:rsidRPr="00F163E4">
        <w:t>.</w:t>
      </w:r>
    </w:p>
    <w:p w14:paraId="632214E3" w14:textId="77777777" w:rsidR="00F163E4" w:rsidRPr="00F163E4" w:rsidRDefault="00F163E4" w:rsidP="00F163E4">
      <w:pPr>
        <w:numPr>
          <w:ilvl w:val="0"/>
          <w:numId w:val="5"/>
        </w:numPr>
      </w:pPr>
      <w:r w:rsidRPr="00F163E4">
        <w:t>High-rated chains indicate brand consistency and customer trust.</w:t>
      </w:r>
    </w:p>
    <w:p w14:paraId="2D8823A7" w14:textId="77777777" w:rsidR="00F163E4" w:rsidRPr="00F163E4" w:rsidRDefault="00F163E4" w:rsidP="00F163E4">
      <w:pPr>
        <w:numPr>
          <w:ilvl w:val="0"/>
          <w:numId w:val="5"/>
        </w:numPr>
      </w:pPr>
      <w:r w:rsidRPr="00F163E4">
        <w:t xml:space="preserve">Some restaurants have a </w:t>
      </w:r>
      <w:r w:rsidRPr="00F163E4">
        <w:rPr>
          <w:b/>
          <w:bCs/>
        </w:rPr>
        <w:t>high count but lower average rating</w:t>
      </w:r>
      <w:r w:rsidRPr="00F163E4">
        <w:t>, highlighting areas for quality improvement.</w:t>
      </w:r>
    </w:p>
    <w:p w14:paraId="76308425" w14:textId="7014E79E" w:rsidR="00F163E4" w:rsidRPr="00F163E4" w:rsidRDefault="00F163E4" w:rsidP="00F163E4">
      <w:r w:rsidRPr="00F163E4">
        <w:rPr>
          <w:b/>
          <w:bCs/>
        </w:rPr>
        <w:t>Customer Services</w:t>
      </w:r>
    </w:p>
    <w:p w14:paraId="4A54D72B" w14:textId="79AE783E" w:rsidR="00F163E4" w:rsidRPr="00F163E4" w:rsidRDefault="00F163E4" w:rsidP="00F163E4">
      <w:pPr>
        <w:numPr>
          <w:ilvl w:val="0"/>
          <w:numId w:val="6"/>
        </w:numPr>
      </w:pPr>
      <w:r w:rsidRPr="00F163E4">
        <w:rPr>
          <w:b/>
          <w:bCs/>
        </w:rPr>
        <w:t>Table Booking:</w:t>
      </w:r>
    </w:p>
    <w:p w14:paraId="33CF7346" w14:textId="77777777" w:rsidR="00F163E4" w:rsidRPr="00F163E4" w:rsidRDefault="00F163E4" w:rsidP="00F163E4">
      <w:r w:rsidRPr="00F163E4">
        <w:t xml:space="preserve">Only </w:t>
      </w:r>
      <w:r w:rsidRPr="00F163E4">
        <w:rPr>
          <w:b/>
          <w:bCs/>
        </w:rPr>
        <w:t>12%</w:t>
      </w:r>
      <w:r w:rsidRPr="00F163E4">
        <w:t xml:space="preserve"> of restaurants offer table booking.</w:t>
      </w:r>
    </w:p>
    <w:p w14:paraId="3886186D" w14:textId="77777777" w:rsidR="00F163E4" w:rsidRPr="00F163E4" w:rsidRDefault="00F163E4" w:rsidP="00F163E4">
      <w:r w:rsidRPr="00F163E4">
        <w:t>Could be improved for customers seeking planned dining experiences.</w:t>
      </w:r>
    </w:p>
    <w:p w14:paraId="0B63D8D4" w14:textId="77777777" w:rsidR="00F163E4" w:rsidRPr="00F163E4" w:rsidRDefault="00F163E4" w:rsidP="00F163E4"/>
    <w:p w14:paraId="1081FE95" w14:textId="77777777" w:rsidR="00F163E4" w:rsidRPr="00F163E4" w:rsidRDefault="00F163E4" w:rsidP="00F163E4">
      <w:pPr>
        <w:numPr>
          <w:ilvl w:val="0"/>
          <w:numId w:val="7"/>
        </w:numPr>
      </w:pPr>
      <w:r w:rsidRPr="00F163E4">
        <w:rPr>
          <w:b/>
          <w:bCs/>
        </w:rPr>
        <w:t>Online Delivery:</w:t>
      </w:r>
    </w:p>
    <w:p w14:paraId="66104B21" w14:textId="77777777" w:rsidR="00F163E4" w:rsidRPr="00F163E4" w:rsidRDefault="00F163E4" w:rsidP="00F163E4"/>
    <w:p w14:paraId="1A1F2940" w14:textId="77777777" w:rsidR="00F163E4" w:rsidRPr="00F163E4" w:rsidRDefault="00F163E4" w:rsidP="00F163E4">
      <w:r w:rsidRPr="00F163E4">
        <w:rPr>
          <w:b/>
          <w:bCs/>
        </w:rPr>
        <w:t>74%</w:t>
      </w:r>
      <w:r w:rsidRPr="00F163E4">
        <w:t xml:space="preserve"> of restaurants support it, reflecting a strong digital delivery ecosystem.</w:t>
      </w:r>
    </w:p>
    <w:p w14:paraId="387E442F" w14:textId="77777777" w:rsidR="00F163E4" w:rsidRPr="00F163E4" w:rsidRDefault="00F163E4" w:rsidP="00F163E4">
      <w:r w:rsidRPr="00F163E4">
        <w:t xml:space="preserve">Highlights shift toward </w:t>
      </w:r>
      <w:r w:rsidRPr="00F163E4">
        <w:rPr>
          <w:b/>
          <w:bCs/>
        </w:rPr>
        <w:t>convenience-focused consumer behavior</w:t>
      </w:r>
      <w:r w:rsidRPr="00F163E4">
        <w:t>.</w:t>
      </w:r>
    </w:p>
    <w:p w14:paraId="5F0A80EF" w14:textId="77777777" w:rsidR="00F163E4" w:rsidRPr="00F163E4" w:rsidRDefault="00F163E4" w:rsidP="00F163E4"/>
    <w:p w14:paraId="31014411" w14:textId="77777777" w:rsidR="00F163E4" w:rsidRPr="00F163E4" w:rsidRDefault="00F163E4" w:rsidP="00F163E4">
      <w:pPr>
        <w:numPr>
          <w:ilvl w:val="0"/>
          <w:numId w:val="8"/>
        </w:numPr>
      </w:pPr>
      <w:r w:rsidRPr="00F163E4">
        <w:rPr>
          <w:b/>
          <w:bCs/>
        </w:rPr>
        <w:t>User Engagement</w:t>
      </w:r>
    </w:p>
    <w:p w14:paraId="189D0197" w14:textId="77777777" w:rsidR="00F163E4" w:rsidRPr="00F163E4" w:rsidRDefault="00F163E4" w:rsidP="00F163E4"/>
    <w:p w14:paraId="5A52C749" w14:textId="77777777" w:rsidR="00F163E4" w:rsidRPr="00F163E4" w:rsidRDefault="00F163E4" w:rsidP="00F163E4">
      <w:pPr>
        <w:numPr>
          <w:ilvl w:val="0"/>
          <w:numId w:val="9"/>
        </w:numPr>
      </w:pPr>
      <w:r w:rsidRPr="00F163E4">
        <w:rPr>
          <w:b/>
          <w:bCs/>
        </w:rPr>
        <w:t>1,826 votes</w:t>
      </w:r>
      <w:r w:rsidRPr="00F163E4">
        <w:t xml:space="preserve"> and </w:t>
      </w:r>
      <w:r w:rsidRPr="00F163E4">
        <w:rPr>
          <w:b/>
          <w:bCs/>
        </w:rPr>
        <w:t>28,000 total ratings</w:t>
      </w:r>
      <w:r w:rsidRPr="00F163E4">
        <w:t xml:space="preserve"> reflect active user participation and feedback.</w:t>
      </w:r>
    </w:p>
    <w:p w14:paraId="34B415A9" w14:textId="77777777" w:rsidR="00F163E4" w:rsidRPr="00F163E4" w:rsidRDefault="00F163E4" w:rsidP="00F163E4">
      <w:pPr>
        <w:numPr>
          <w:ilvl w:val="0"/>
          <w:numId w:val="9"/>
        </w:numPr>
      </w:pPr>
      <w:r w:rsidRPr="00F163E4">
        <w:t>Can be leveraged for sentiment analysis, trend forecasting, and service improvements.</w:t>
      </w:r>
    </w:p>
    <w:p w14:paraId="7BAFBB93" w14:textId="77777777" w:rsidR="00F163E4" w:rsidRPr="00F163E4" w:rsidRDefault="00F163E4" w:rsidP="00F163E4"/>
    <w:p w14:paraId="0666C749" w14:textId="3C21717B" w:rsidR="00F163E4" w:rsidRPr="00F163E4" w:rsidRDefault="00F163E4" w:rsidP="00F163E4">
      <w:r w:rsidRPr="00F163E4">
        <w:rPr>
          <w:b/>
          <w:bCs/>
        </w:rPr>
        <w:t>Actionable Recommendations</w:t>
      </w:r>
    </w:p>
    <w:p w14:paraId="2FF80028" w14:textId="77777777" w:rsidR="00F163E4" w:rsidRPr="00F163E4" w:rsidRDefault="00F163E4" w:rsidP="00F163E4">
      <w:pPr>
        <w:numPr>
          <w:ilvl w:val="0"/>
          <w:numId w:val="10"/>
        </w:numPr>
      </w:pPr>
      <w:r w:rsidRPr="00F163E4">
        <w:rPr>
          <w:b/>
          <w:bCs/>
        </w:rPr>
        <w:t>Boost Presence</w:t>
      </w:r>
      <w:r w:rsidRPr="00F163E4">
        <w:t xml:space="preserve"> in underrepresented cities and regions to balance geographic spread.</w:t>
      </w:r>
    </w:p>
    <w:p w14:paraId="582AC0B1" w14:textId="77777777" w:rsidR="00F163E4" w:rsidRPr="00F163E4" w:rsidRDefault="00F163E4" w:rsidP="00F163E4">
      <w:pPr>
        <w:numPr>
          <w:ilvl w:val="0"/>
          <w:numId w:val="10"/>
        </w:numPr>
      </w:pPr>
      <w:r w:rsidRPr="00F163E4">
        <w:t xml:space="preserve">Promote </w:t>
      </w:r>
      <w:r w:rsidRPr="00F163E4">
        <w:rPr>
          <w:b/>
          <w:bCs/>
        </w:rPr>
        <w:t>emerging or niche cuisines</w:t>
      </w:r>
      <w:r w:rsidRPr="00F163E4">
        <w:t xml:space="preserve"> to diversify the customer offering.</w:t>
      </w:r>
    </w:p>
    <w:p w14:paraId="7B2F2F0C" w14:textId="77777777" w:rsidR="00F163E4" w:rsidRPr="00F163E4" w:rsidRDefault="00F163E4" w:rsidP="00F163E4">
      <w:pPr>
        <w:numPr>
          <w:ilvl w:val="0"/>
          <w:numId w:val="10"/>
        </w:numPr>
      </w:pPr>
      <w:r w:rsidRPr="00F163E4">
        <w:t xml:space="preserve">Encourage restaurants to adopt </w:t>
      </w:r>
      <w:r w:rsidRPr="00F163E4">
        <w:rPr>
          <w:b/>
          <w:bCs/>
        </w:rPr>
        <w:t xml:space="preserve">table booking </w:t>
      </w:r>
      <w:proofErr w:type="gramStart"/>
      <w:r w:rsidRPr="00F163E4">
        <w:rPr>
          <w:b/>
          <w:bCs/>
        </w:rPr>
        <w:t>systems</w:t>
      </w:r>
      <w:r w:rsidRPr="00F163E4">
        <w:t>—</w:t>
      </w:r>
      <w:proofErr w:type="gramEnd"/>
      <w:r w:rsidRPr="00F163E4">
        <w:t>especially in premium dining segments.</w:t>
      </w:r>
    </w:p>
    <w:p w14:paraId="5C2CDD03" w14:textId="77777777" w:rsidR="00F163E4" w:rsidRPr="00F163E4" w:rsidRDefault="00F163E4" w:rsidP="00F163E4">
      <w:pPr>
        <w:numPr>
          <w:ilvl w:val="0"/>
          <w:numId w:val="10"/>
        </w:numPr>
      </w:pPr>
      <w:r w:rsidRPr="00F163E4">
        <w:t xml:space="preserve">Maintain and enhance </w:t>
      </w:r>
      <w:r w:rsidRPr="00F163E4">
        <w:rPr>
          <w:b/>
          <w:bCs/>
        </w:rPr>
        <w:t>online delivery infrastructure</w:t>
      </w:r>
      <w:r w:rsidRPr="00F163E4">
        <w:t>, as it aligns with customer behavior.</w:t>
      </w:r>
    </w:p>
    <w:p w14:paraId="4027AD75" w14:textId="77777777" w:rsidR="00F163E4" w:rsidRPr="00F163E4" w:rsidRDefault="00F163E4" w:rsidP="00F163E4">
      <w:pPr>
        <w:numPr>
          <w:ilvl w:val="0"/>
          <w:numId w:val="10"/>
        </w:numPr>
      </w:pPr>
      <w:r w:rsidRPr="00F163E4">
        <w:t xml:space="preserve">Use </w:t>
      </w:r>
      <w:r w:rsidRPr="00F163E4">
        <w:rPr>
          <w:b/>
          <w:bCs/>
        </w:rPr>
        <w:t>rating patterns</w:t>
      </w:r>
      <w:r w:rsidRPr="00F163E4">
        <w:t xml:space="preserve"> to identify top-performing chains and partner more closely with them.</w:t>
      </w:r>
    </w:p>
    <w:p w14:paraId="3F4E6AA6" w14:textId="1F049CAD" w:rsidR="00F163E4" w:rsidRDefault="00F163E4" w:rsidP="00F163E4">
      <w:pPr>
        <w:numPr>
          <w:ilvl w:val="0"/>
          <w:numId w:val="10"/>
        </w:numPr>
      </w:pPr>
      <w:r w:rsidRPr="00F163E4">
        <w:t xml:space="preserve">Improve quality and service consistency in restaurants with </w:t>
      </w:r>
      <w:r w:rsidRPr="00F163E4">
        <w:rPr>
          <w:b/>
          <w:bCs/>
        </w:rPr>
        <w:t>low average ratings</w:t>
      </w:r>
      <w:r w:rsidRPr="00F163E4">
        <w:t xml:space="preserve"> but high footfall.</w:t>
      </w:r>
    </w:p>
    <w:p w14:paraId="0EFB6760" w14:textId="45E838D4" w:rsidR="00F163E4" w:rsidRDefault="00F163E4">
      <w:r w:rsidRPr="00F163E4">
        <w:lastRenderedPageBreak/>
        <w:drawing>
          <wp:inline distT="0" distB="0" distL="0" distR="0" wp14:anchorId="78D8E518" wp14:editId="19C70666">
            <wp:extent cx="5943600" cy="3330575"/>
            <wp:effectExtent l="0" t="0" r="0" b="3175"/>
            <wp:docPr id="1505714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141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AD9A" w14:textId="034D2E95" w:rsidR="00F163E4" w:rsidRDefault="00F163E4">
      <w:r>
        <w:br w:type="page"/>
      </w:r>
    </w:p>
    <w:p w14:paraId="4300AE18" w14:textId="74CC6034" w:rsidR="00F163E4" w:rsidRDefault="00F163E4" w:rsidP="00F163E4">
      <w:r w:rsidRPr="00F163E4">
        <w:lastRenderedPageBreak/>
        <w:drawing>
          <wp:inline distT="0" distB="0" distL="0" distR="0" wp14:anchorId="3809FA58" wp14:editId="3202C108">
            <wp:extent cx="5601482" cy="6792273"/>
            <wp:effectExtent l="0" t="0" r="0" b="8890"/>
            <wp:docPr id="1017135865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35865" name="Picture 1" descr="A screenshot of a tab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954A" w14:textId="77777777" w:rsidR="00F163E4" w:rsidRDefault="00F163E4">
      <w:r>
        <w:br w:type="page"/>
      </w:r>
    </w:p>
    <w:p w14:paraId="4E177410" w14:textId="31617050" w:rsidR="00657F5C" w:rsidRDefault="00657F5C" w:rsidP="00F163E4">
      <w:r w:rsidRPr="00657F5C">
        <w:lastRenderedPageBreak/>
        <w:drawing>
          <wp:inline distT="0" distB="0" distL="0" distR="0" wp14:anchorId="404511AC" wp14:editId="4E197F32">
            <wp:extent cx="5943600" cy="3288030"/>
            <wp:effectExtent l="0" t="0" r="0" b="7620"/>
            <wp:docPr id="2471074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074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6F74" w14:textId="77777777" w:rsidR="00657F5C" w:rsidRDefault="00657F5C">
      <w:r>
        <w:br w:type="page"/>
      </w:r>
    </w:p>
    <w:p w14:paraId="5AC7785D" w14:textId="344EFAB8" w:rsidR="00657F5C" w:rsidRDefault="00657F5C" w:rsidP="00F163E4">
      <w:r w:rsidRPr="00657F5C">
        <w:lastRenderedPageBreak/>
        <w:drawing>
          <wp:inline distT="0" distB="0" distL="0" distR="0" wp14:anchorId="0171CA16" wp14:editId="61095C1C">
            <wp:extent cx="5943600" cy="3666490"/>
            <wp:effectExtent l="0" t="0" r="0" b="0"/>
            <wp:docPr id="1285468750" name="Picture 1" descr="A graph of a number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68750" name="Picture 1" descr="A graph of a number of blue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2D4C" w14:textId="77777777" w:rsidR="00657F5C" w:rsidRDefault="00657F5C">
      <w:r>
        <w:br w:type="page"/>
      </w:r>
    </w:p>
    <w:p w14:paraId="32D97FE3" w14:textId="77777777" w:rsidR="00657F5C" w:rsidRDefault="00657F5C" w:rsidP="00F163E4">
      <w:r w:rsidRPr="00657F5C">
        <w:lastRenderedPageBreak/>
        <w:drawing>
          <wp:inline distT="0" distB="0" distL="0" distR="0" wp14:anchorId="7A4A6132" wp14:editId="71963C19">
            <wp:extent cx="5943600" cy="3543935"/>
            <wp:effectExtent l="0" t="0" r="0" b="0"/>
            <wp:docPr id="1456081549" name="Picture 1" descr="A blue circle with numbers and a number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81549" name="Picture 1" descr="A blue circle with numbers and a number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1A0A" w14:textId="77777777" w:rsidR="00657F5C" w:rsidRDefault="00657F5C" w:rsidP="00F163E4"/>
    <w:p w14:paraId="126AB7C0" w14:textId="77777777" w:rsidR="00657F5C" w:rsidRDefault="00657F5C" w:rsidP="00F163E4"/>
    <w:p w14:paraId="3645F183" w14:textId="38EDB5F8" w:rsidR="008F1FB8" w:rsidRDefault="00657F5C" w:rsidP="00F163E4">
      <w:r w:rsidRPr="00657F5C">
        <w:drawing>
          <wp:inline distT="0" distB="0" distL="0" distR="0" wp14:anchorId="75D7EAE5" wp14:editId="5D41E57A">
            <wp:extent cx="5943600" cy="3668395"/>
            <wp:effectExtent l="0" t="0" r="0" b="8255"/>
            <wp:docPr id="1087982084" name="Picture 1" descr="A blue circle with a number of percen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82084" name="Picture 1" descr="A blue circle with a number of percentag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7692"/>
    <w:multiLevelType w:val="multilevel"/>
    <w:tmpl w:val="FBEE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F6FAF"/>
    <w:multiLevelType w:val="multilevel"/>
    <w:tmpl w:val="CC40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80249"/>
    <w:multiLevelType w:val="multilevel"/>
    <w:tmpl w:val="AE9A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E5320"/>
    <w:multiLevelType w:val="multilevel"/>
    <w:tmpl w:val="5D00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21C56"/>
    <w:multiLevelType w:val="multilevel"/>
    <w:tmpl w:val="7080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03C74"/>
    <w:multiLevelType w:val="multilevel"/>
    <w:tmpl w:val="CCC4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11F3B"/>
    <w:multiLevelType w:val="multilevel"/>
    <w:tmpl w:val="8FA6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034D8"/>
    <w:multiLevelType w:val="multilevel"/>
    <w:tmpl w:val="E612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121C9"/>
    <w:multiLevelType w:val="multilevel"/>
    <w:tmpl w:val="CE74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86C6A"/>
    <w:multiLevelType w:val="multilevel"/>
    <w:tmpl w:val="EA74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83788">
    <w:abstractNumId w:val="3"/>
  </w:num>
  <w:num w:numId="2" w16cid:durableId="562302117">
    <w:abstractNumId w:val="2"/>
  </w:num>
  <w:num w:numId="3" w16cid:durableId="1959293425">
    <w:abstractNumId w:val="6"/>
  </w:num>
  <w:num w:numId="4" w16cid:durableId="358242911">
    <w:abstractNumId w:val="9"/>
  </w:num>
  <w:num w:numId="5" w16cid:durableId="1762333496">
    <w:abstractNumId w:val="4"/>
  </w:num>
  <w:num w:numId="6" w16cid:durableId="896823512">
    <w:abstractNumId w:val="8"/>
  </w:num>
  <w:num w:numId="7" w16cid:durableId="1784230839">
    <w:abstractNumId w:val="7"/>
  </w:num>
  <w:num w:numId="8" w16cid:durableId="1033965621">
    <w:abstractNumId w:val="5"/>
  </w:num>
  <w:num w:numId="9" w16cid:durableId="2111585033">
    <w:abstractNumId w:val="0"/>
  </w:num>
  <w:num w:numId="10" w16cid:durableId="1846163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E4"/>
    <w:rsid w:val="00657F5C"/>
    <w:rsid w:val="008F1FB8"/>
    <w:rsid w:val="00F163E4"/>
    <w:rsid w:val="00FD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274C4"/>
  <w15:chartTrackingRefBased/>
  <w15:docId w15:val="{809B2B6B-3F3A-4BBE-B417-5A13B7EA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3E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3E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3E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3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3E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3E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3E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3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3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3E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3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3E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3E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6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FCFCB-2E54-4494-ADA1-04526314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300</Words>
  <Characters>1932</Characters>
  <Application>Microsoft Office Word</Application>
  <DocSecurity>0</DocSecurity>
  <Lines>62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Nibedita Mal</dc:creator>
  <cp:keywords/>
  <dc:description/>
  <cp:lastModifiedBy>Nibedita Mal</cp:lastModifiedBy>
  <cp:revision>2</cp:revision>
  <dcterms:created xsi:type="dcterms:W3CDTF">2025-07-01T05:12:00Z</dcterms:created>
  <dcterms:modified xsi:type="dcterms:W3CDTF">2025-07-01T05:12:00Z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44b79152-b93f-4f60-9576-9877fb45a804</vt:lpwstr>
  </property>
</Properties>
</file>