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1725"/>
          <w:sz w:val="22"/>
        </w:rPr>
        <w:t>TRƯỜNG ĐẠI HỌC CÔNG NGHỆ ĐỒNG NAI</w:t>
      </w:r>
    </w:p>
    <w:p>
      <w:pPr>
        <w:jc w:val="center"/>
      </w:pPr>
      <w:r>
        <w:rPr>
          <w:rFonts w:ascii="Arial" w:hAnsi="Arial"/>
          <w:b/>
          <w:color w:val="8F1725"/>
          <w:sz w:val="50"/>
        </w:rPr>
        <w:t>UNIFIND DNTU</w:t>
      </w:r>
    </w:p>
    <w:p>
      <w:pPr>
        <w:jc w:val="center"/>
      </w:pPr>
      <w:r>
        <w:rPr>
          <w:rFonts w:ascii="Arial" w:hAnsi="Arial"/>
          <w:b/>
          <w:color w:val="6F101B"/>
          <w:sz w:val="36"/>
        </w:rPr>
        <w:t>ARCHITECTURE DESIGN</w:t>
      </w:r>
    </w:p>
    <w:p>
      <w:pPr>
        <w:jc w:val="center"/>
      </w:pPr>
      <w:r>
        <w:rPr>
          <w:rFonts w:ascii="Arial" w:hAnsi="Arial"/>
          <w:i/>
          <w:sz w:val="20"/>
        </w:rPr>
        <w:t>UniFind DNTU - Web App quản lý, đối chiếu và hoàn trả đồ thất lạc trong Trường Đại học Công nghệ Đồng Nai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820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Mã tài liệu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ARCH-UNIFIND-01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Phiên bản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 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Môn học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Mẫu thiết kế phần mềm / SEP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Ngày cập nhật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15/09/2026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Trạng thái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Draft / Working Document</w:t>
            </w:r>
          </w:p>
        </w:tc>
      </w:tr>
    </w:tbl>
    <w:p/>
    <w:p>
      <w:pPr>
        <w:pStyle w:val="Heading1"/>
      </w:pPr>
      <w:r>
        <w:t>1. Kiến trúc tổng thể</w:t>
      </w:r>
    </w:p>
    <w:p>
      <w:r>
        <w:t>UniFind DNTU sử dụng Layered Architecture ở backend và component/service architecture ở frontend. Mục tiêu là tách HTTP, business logic và data access để dễ test, thay đổi và trình bày design pattern.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032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Laye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03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Backend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46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Trách nhiệm</w:t>
            </w:r>
          </w:p>
        </w:tc>
        <w:tc>
          <w:tcPr>
            <w:tcW w:type="dxa" w:w="345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Ví dụ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Router/Middleware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Route, auth, role, CORS, logging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/api/items, AuthMiddleware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Handler</w:t>
            </w:r>
          </w:p>
        </w:tc>
        <w:tc>
          <w:tcPr>
            <w:tcW w:type="dxa" w:w="446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Parse HTTP, validate DTO cơ bản, map response</w:t>
            </w:r>
          </w:p>
        </w:tc>
        <w:tc>
          <w:tcPr>
            <w:tcW w:type="dxa" w:w="345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ItemHandler, ClaimHandler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Business rule, transaction, pattern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ItemService, MatchingService, ClaimFacade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Repository</w:t>
            </w:r>
          </w:p>
        </w:tc>
        <w:tc>
          <w:tcPr>
            <w:tcW w:type="dxa" w:w="446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Query/persistence, không chứa business rule</w:t>
            </w:r>
          </w:p>
        </w:tc>
        <w:tc>
          <w:tcPr>
            <w:tcW w:type="dxa" w:w="345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ItemRepository, ClaimRepository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Constraint, index, transaction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PostgreSQL</w:t>
            </w:r>
          </w:p>
        </w:tc>
      </w:tr>
    </w:tbl>
    <w:p/>
    <w:p>
      <w:pPr>
        <w:pStyle w:val="Heading1"/>
      </w:pPr>
      <w:r>
        <w:t>3. Frontend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792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Trang/chức năng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Public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Home, Login, Register, Search, Item Detail, Guide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Report Lost/Found, Matches, My Claims, Profile, My Posts, Notifications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Staff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Dashboard, Claim Review, Items Held, Handovers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Dashboard, Users, Posts, Claims, Categories, Locations, Statistics, Audit Logs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Shared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Design system, API client, hooks, schemas, route guard</w:t>
            </w:r>
          </w:p>
        </w:tc>
      </w:tr>
    </w:tbl>
    <w:p/>
    <w:p>
      <w:pPr>
        <w:pStyle w:val="Heading1"/>
      </w:pPr>
      <w:r>
        <w:t>4. API convention</w:t>
      </w:r>
    </w:p>
    <w:p>
      <w:pPr>
        <w:pStyle w:val="ListBullet"/>
      </w:pPr>
      <w:r>
        <w:t>Base path: /api/v1 (khuyến nghị khi ổn định).</w:t>
      </w:r>
    </w:p>
    <w:p>
      <w:pPr>
        <w:pStyle w:val="ListBullet"/>
      </w:pPr>
      <w:r>
        <w:t>JSON response có data/message/errorCode nhất quán.</w:t>
      </w:r>
    </w:p>
    <w:p>
      <w:pPr>
        <w:pStyle w:val="ListBullet"/>
      </w:pPr>
      <w:r>
        <w:t>Pagination: page, pageSize; search/filter qua query string.</w:t>
      </w:r>
    </w:p>
    <w:p>
      <w:pPr>
        <w:pStyle w:val="ListBullet"/>
      </w:pPr>
      <w:r>
        <w:t>JWT Bearer cho protected API; 401 khi chưa xác thực, 403 khi sai quyền.</w:t>
      </w:r>
    </w:p>
    <w:p>
      <w:pPr>
        <w:pStyle w:val="ListBullet"/>
      </w:pPr>
      <w:r>
        <w:t>Không trả password_hash, secret internal hoặc claim evidence nhạy cảm cho user không có quyền.</w:t>
      </w:r>
    </w:p>
    <w:p>
      <w:pPr>
        <w:pStyle w:val="Heading1"/>
      </w:pPr>
      <w:r>
        <w:t>5. Luồng Create Found Item → Match → Notify</w:t>
      </w:r>
    </w:p>
    <w:p>
      <w:pPr>
        <w:pStyle w:val="ListNumber"/>
      </w:pPr>
      <w:r>
        <w:t>Frontend POST /api/items với type=FOUND.</w:t>
      </w:r>
    </w:p>
    <w:p>
      <w:pPr>
        <w:pStyle w:val="ListNumber"/>
      </w:pPr>
      <w:r>
        <w:t>Handler nhận request, Service kiểm tra business rule và lưu Item.</w:t>
      </w:r>
    </w:p>
    <w:p>
      <w:pPr>
        <w:pStyle w:val="ListNumber"/>
      </w:pPr>
      <w:r>
        <w:t>Service publish ItemCreated event.</w:t>
      </w:r>
    </w:p>
    <w:p>
      <w:pPr>
        <w:pStyle w:val="ListNumber"/>
      </w:pPr>
      <w:r>
        <w:t>Matching Observer tìm Lost Item phù hợp; Strategy tính score.</w:t>
      </w:r>
    </w:p>
    <w:p>
      <w:pPr>
        <w:pStyle w:val="ListNumber"/>
      </w:pPr>
      <w:r>
        <w:t>Nếu score ≥ 60, lưu Match và Notification Observer tạo thông báo.</w:t>
      </w:r>
    </w:p>
    <w:p>
      <w:pPr>
        <w:pStyle w:val="ListNumber"/>
      </w:pPr>
      <w:r>
        <w:t>Frontend lấy notification/match qua API hoặc realtime ở phiên bản mở rộng.</w:t>
      </w:r>
    </w:p>
    <w:p>
      <w:pPr>
        <w:pStyle w:val="Heading1"/>
      </w:pPr>
      <w:r>
        <w:t>6. Luồng Claim/Handover</w:t>
      </w:r>
    </w:p>
    <w:p>
      <w:pPr>
        <w:pStyle w:val="ListNumber"/>
      </w:pPr>
      <w:r>
        <w:t>USER gửi Claim.</w:t>
      </w:r>
    </w:p>
    <w:p>
      <w:pPr>
        <w:pStyle w:val="ListNumber"/>
      </w:pPr>
      <w:r>
        <w:t>ClaimFacade xác nhận item chưa RETURNED và user không phải người đăng Found Item.</w:t>
      </w:r>
    </w:p>
    <w:p>
      <w:pPr>
        <w:pStyle w:val="ListNumber"/>
      </w:pPr>
      <w:r>
        <w:t>STAFF review và update status.</w:t>
      </w:r>
    </w:p>
    <w:p>
      <w:pPr>
        <w:pStyle w:val="ListNumber"/>
      </w:pPr>
      <w:r>
        <w:t>Khi READY_FOR_HANDOVER → HandoverFacade kiểm tra điều kiện, tạo Handover Record trong transaction.</w:t>
      </w:r>
    </w:p>
    <w:p>
      <w:pPr>
        <w:pStyle w:val="ListNumber"/>
      </w:pPr>
      <w:r>
        <w:t>Item và Claim cùng chuyển RETURNED, tạo audit/notification.</w:t>
      </w:r>
    </w:p>
    <w:p>
      <w:pPr>
        <w:pStyle w:val="Heading1"/>
      </w:pPr>
      <w:r>
        <w:t>7. Security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Hạng mục</w:t>
            </w:r>
          </w:p>
        </w:tc>
        <w:tc>
          <w:tcPr>
            <w:tcW w:type="dxa" w:w="777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Giải pháp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Password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bcrypt/argon2, không log plaintext</w:t>
            </w:r>
          </w:p>
        </w:tc>
      </w:tr>
      <w:tr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Auth</w:t>
            </w:r>
          </w:p>
        </w:tc>
        <w:tc>
          <w:tcPr>
            <w:tcW w:type="dxa" w:w="777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JWT access token; refresh token nếu triển khai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Authorization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Role middleware + object-level ownership check</w:t>
            </w:r>
          </w:p>
        </w:tc>
      </w:tr>
      <w:tr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Input</w:t>
            </w:r>
          </w:p>
        </w:tc>
        <w:tc>
          <w:tcPr>
            <w:tcW w:type="dxa" w:w="777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DTO validation, limit file/type/size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Secrets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.env không commit; .env.example chỉ key</w:t>
            </w:r>
          </w:p>
        </w:tc>
      </w:tr>
      <w:tr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DB</w:t>
            </w:r>
          </w:p>
        </w:tc>
        <w:tc>
          <w:tcPr>
            <w:tcW w:type="dxa" w:w="777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FK, unique, check constraint, parameterized ORM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Audit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Ghi action quan trọng: approve/reject/delete/handover</w:t>
            </w:r>
          </w:p>
        </w:tc>
      </w:tr>
    </w:tbl>
    <w:p/>
    <w:p>
      <w:pPr>
        <w:pStyle w:val="Heading1"/>
      </w:pPr>
      <w:r>
        <w:t>8. UI/UX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598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indDNTU_UI_Moc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98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tham chiếu: storyboard high-fidelity cho User/Staff/Admin, tone burgundy/cream DNTU. Đây là reference thiết kế, không phải bằng chứng toàn bộ màn hình đã được code hoàn chỉnh.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ARCH-UNIFIND-01  |  Version 1.0  |  15/09/2026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UniFind DNTU  |  SEP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17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F10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69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F172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