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line="276" w:lineRule="auto"/>
        <w:jc w:val="center"/>
      </w:pPr>
      <w:r>
        <w:rPr>
          <w:rFonts w:ascii="Times New Roman" w:hAnsi="Times New Roman"/>
          <w:b/>
          <w:color w:val="000000"/>
          <w:sz w:val="28"/>
        </w:rPr>
        <w:t>CHAPTER FOUR</w:t>
      </w:r>
    </w:p>
    <w:p>
      <w:pPr>
        <w:spacing w:before="360" w:after="120" w:line="276" w:lineRule="auto"/>
        <w:jc w:val="center"/>
      </w:pPr>
      <w:r>
        <w:rPr>
          <w:rFonts w:ascii="Times New Roman" w:hAnsi="Times New Roman"/>
          <w:b/>
          <w:color w:val="000000"/>
          <w:sz w:val="28"/>
        </w:rPr>
        <w:t>RESULTS AND DISCUSSION</w:t>
      </w:r>
    </w:p>
    <w:p>
      <w:pPr>
        <w:spacing w:before="0" w:after="120" w:line="276" w:lineRule="auto"/>
        <w:jc w:val="both"/>
      </w:pPr>
      <w:r>
        <w:rPr>
          <w:rFonts w:ascii="Times New Roman" w:hAnsi="Times New Roman"/>
          <w:b w:val="0"/>
          <w:i w:val="0"/>
          <w:color w:val="000000"/>
          <w:sz w:val="24"/>
        </w:rPr>
        <w:t>This chapter presents the empirical results and detailed academic discussion of the study based on field survey data collected from 60 yam-farming households in Akpabuyo Local Government Area, Cross River State. The presentation is systematically structured in accordance with the study's four specific research objectives: (i) determining the poverty status of yam farmers using the relative poverty line and Foster-Greer-Thorbecke (FGT) poverty indices; (ii) analyzing the poverty status profile across socioeconomic, farm asset, and expenditure characteristics; (iii) analyzing the factors influencing household poverty status using bivariate tests and binary logistic regression; and (iv) evaluating the severity of production and institutional challenges faced by yam farmers. The chapter concludes with formal hypothesis testing and an integrated discussion of findings.</w:t>
      </w:r>
    </w:p>
    <w:p>
      <w:pPr>
        <w:spacing w:before="280" w:after="80" w:line="276" w:lineRule="auto"/>
        <w:jc w:val="left"/>
      </w:pPr>
      <w:r>
        <w:rPr>
          <w:rFonts w:ascii="Times New Roman" w:hAnsi="Times New Roman"/>
          <w:b/>
          <w:color w:val="000000"/>
          <w:sz w:val="24"/>
        </w:rPr>
        <w:t>4.1 Socio-Economic Characteristics of Yam Farmers</w:t>
      </w:r>
    </w:p>
    <w:p>
      <w:pPr>
        <w:spacing w:before="0" w:after="120" w:line="276" w:lineRule="auto"/>
        <w:jc w:val="both"/>
      </w:pPr>
      <w:r>
        <w:rPr>
          <w:rFonts w:ascii="Times New Roman" w:hAnsi="Times New Roman"/>
          <w:b w:val="0"/>
          <w:i w:val="0"/>
          <w:color w:val="000000"/>
          <w:sz w:val="24"/>
        </w:rPr>
        <w:t>The socio-economic attributes of farming households are fundamental determinants of their managerial capabilities, resource allocation efficiency, technology adoption, and overall economic welfare. In this study, the socio-economic characteristics investigated include sex, age, marital status, educational attainment, household size, yam farming experience, and engagement in supplementary (off-farm) income-generating activities. Table 4.1 presents a consolidated summary of these socio-economic characteristics for the 60 sampled yam-farming households in Akpabuyo Local Government Area.</w:t>
      </w:r>
    </w:p>
    <w:p>
      <w:pPr>
        <w:spacing w:before="240" w:after="60" w:line="276" w:lineRule="auto"/>
        <w:jc w:val="left"/>
      </w:pPr>
      <w:r>
        <w:rPr>
          <w:rFonts w:ascii="Times New Roman" w:hAnsi="Times New Roman"/>
          <w:b/>
          <w:color w:val="000000"/>
          <w:sz w:val="24"/>
        </w:rPr>
        <w:t>Table 4.1: Socio-Economic Characteristics of Yam Farmers in Akpabuyo LGA (N = 60)</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V w:val="none"/>
          <w:insideH w:val="none"/>
        </w:tblBorders>
      </w:tblPr>
      <w:tblGrid>
        <w:gridCol w:w="2340"/>
        <w:gridCol w:w="2340"/>
        <w:gridCol w:w="2340"/>
        <w:gridCol w:w="2340"/>
      </w:tblGrid>
      <w:tr>
        <w:tc>
          <w:tcPr>
            <w:tcW w:type="dxa" w:w="2340"/>
            <w:tcMar>
              <w:top w:w="70" w:type="dxa"/>
              <w:bottom w:w="70" w:type="dxa"/>
              <w:left w:w="100" w:type="dxa"/>
              <w:right w:w="10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1"/>
              </w:rPr>
              <w:t>Variable / Characteristic</w:t>
            </w:r>
          </w:p>
        </w:tc>
        <w:tc>
          <w:tcPr>
            <w:tcW w:type="dxa" w:w="2340"/>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Frequency (n)</w:t>
            </w:r>
          </w:p>
        </w:tc>
        <w:tc>
          <w:tcPr>
            <w:tcW w:type="dxa" w:w="2340"/>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Percentage (%)</w:t>
            </w:r>
          </w:p>
        </w:tc>
        <w:tc>
          <w:tcPr>
            <w:tcW w:type="dxa" w:w="2340"/>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Summary Statistics</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i w:val="0"/>
                <w:color w:val="000000"/>
                <w:sz w:val="21"/>
              </w:rPr>
              <w:t>Sex</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Male</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36</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60.00</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Female</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24</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40.00</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Total</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60</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100.00</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Age of farmer (years)</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60</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100.00</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Mean = 46.03 ± 8.64 (Min = 30, Max = 63)</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i w:val="0"/>
                <w:color w:val="000000"/>
                <w:sz w:val="21"/>
              </w:rPr>
              <w:t>Marital Status</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Single</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5</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8.33</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Married</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49</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81.67</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Divorced</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0.00</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Widowed</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6</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10.00</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Total</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60</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100.00</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i w:val="0"/>
                <w:color w:val="000000"/>
                <w:sz w:val="21"/>
              </w:rPr>
              <w:t>Educational Attainment</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No Formal Education</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0.00</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Primary Education (6 years)</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18</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30.00</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Secondary Education (12 years)</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27</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45.00</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Tertiary Education (16 years)</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15</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25.00</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Total</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60</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100.00</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Household Size (persons)</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60</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100.00</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Mean = 6.23 ± 1.84 (Min = 3, Max = 10)</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Yam Farming Experience (years)</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60</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100.00</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Mean = 18.88 ± 8.56 (Min = 6, Max = 40)</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i w:val="0"/>
                <w:color w:val="000000"/>
                <w:sz w:val="21"/>
              </w:rPr>
              <w:t>Other Sources of Income</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Yes (Other source of income)</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49</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81.67</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No (No other source of income)</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11</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18.33</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Total</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60</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100.00</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w:t>
            </w:r>
          </w:p>
        </w:tc>
      </w:tr>
    </w:tbl>
    <w:p>
      <w:pPr>
        <w:spacing w:before="60" w:after="200" w:line="276" w:lineRule="auto"/>
        <w:jc w:val="both"/>
      </w:pPr>
      <w:r>
        <w:rPr>
          <w:rFonts w:ascii="Times New Roman" w:hAnsi="Times New Roman"/>
          <w:i/>
          <w:color w:val="000000"/>
          <w:sz w:val="21"/>
        </w:rPr>
        <w:t>Source: Field Survey Data Analysis, 2026.</w:t>
      </w:r>
    </w:p>
    <w:p>
      <w:pPr>
        <w:spacing w:before="200" w:after="60" w:line="276" w:lineRule="auto"/>
        <w:jc w:val="left"/>
      </w:pPr>
      <w:r>
        <w:rPr>
          <w:rFonts w:ascii="Times New Roman" w:hAnsi="Times New Roman"/>
          <w:b/>
          <w:color w:val="000000"/>
          <w:sz w:val="24"/>
        </w:rPr>
        <w:t>4.1.1 Sex of Respondents</w:t>
      </w:r>
    </w:p>
    <w:p>
      <w:pPr>
        <w:spacing w:before="0" w:after="120" w:line="276" w:lineRule="auto"/>
        <w:jc w:val="both"/>
      </w:pPr>
      <w:r>
        <w:rPr>
          <w:rFonts w:ascii="Times New Roman" w:hAnsi="Times New Roman"/>
          <w:b w:val="0"/>
          <w:i w:val="0"/>
          <w:color w:val="000000"/>
          <w:sz w:val="24"/>
        </w:rPr>
        <w:t>Table 4.1 shows that 36 respondents (60.00%) were male, while 24 respondents (40.00%) were female. This distribution reveals that yam farming in Akpabuyo LGA is actively pursued by both genders, with male farmers comprising the majority of enterprise decision-makers. The substantial 40.00% female participation rate underscores the prominent contribution of women to agricultural production and household food security in the area.</w:t>
      </w:r>
    </w:p>
    <w:p>
      <w:pPr>
        <w:spacing w:before="200" w:after="60" w:line="276" w:lineRule="auto"/>
        <w:jc w:val="left"/>
      </w:pPr>
      <w:r>
        <w:rPr>
          <w:rFonts w:ascii="Times New Roman" w:hAnsi="Times New Roman"/>
          <w:b/>
          <w:color w:val="000000"/>
          <w:sz w:val="24"/>
        </w:rPr>
        <w:t>4.1.2 Age of Respondents</w:t>
      </w:r>
    </w:p>
    <w:p>
      <w:pPr>
        <w:spacing w:before="0" w:after="120" w:line="276" w:lineRule="auto"/>
        <w:jc w:val="both"/>
      </w:pPr>
      <w:r>
        <w:rPr>
          <w:rFonts w:ascii="Times New Roman" w:hAnsi="Times New Roman"/>
          <w:b w:val="0"/>
          <w:i w:val="0"/>
          <w:color w:val="000000"/>
          <w:sz w:val="24"/>
        </w:rPr>
        <w:t>The chronological age of respondents averaged 46.03 ± 8.64 years, spanning from 30 to 63 years. This indicates that yam farming in the study area is dominated by middle-aged individuals who remain in their economically active and productive years.</w:t>
      </w:r>
    </w:p>
    <w:p>
      <w:pPr>
        <w:spacing w:before="240" w:after="80"/>
        <w:jc w:val="center"/>
      </w:pPr>
      <w:r>
        <w:drawing>
          <wp:inline xmlns:a="http://schemas.openxmlformats.org/drawingml/2006/main" xmlns:pic="http://schemas.openxmlformats.org/drawingml/2006/picture">
            <wp:extent cx="5303520" cy="3153021"/>
            <wp:docPr id="1" name="Picture 1"/>
            <wp:cNvGraphicFramePr>
              <a:graphicFrameLocks noChangeAspect="1"/>
            </wp:cNvGraphicFramePr>
            <a:graphic>
              <a:graphicData uri="http://schemas.openxmlformats.org/drawingml/2006/picture">
                <pic:pic>
                  <pic:nvPicPr>
                    <pic:cNvPr id="0" name="Figure_4_1_Age_Distribution.png"/>
                    <pic:cNvPicPr/>
                  </pic:nvPicPr>
                  <pic:blipFill>
                    <a:blip r:embed="rId9"/>
                    <a:stretch>
                      <a:fillRect/>
                    </a:stretch>
                  </pic:blipFill>
                  <pic:spPr>
                    <a:xfrm>
                      <a:off x="0" y="0"/>
                      <a:ext cx="5303520" cy="3153021"/>
                    </a:xfrm>
                    <a:prstGeom prst="rect"/>
                  </pic:spPr>
                </pic:pic>
              </a:graphicData>
            </a:graphic>
          </wp:inline>
        </w:drawing>
      </w:r>
    </w:p>
    <w:p>
      <w:pPr>
        <w:spacing w:before="40" w:after="240" w:line="276" w:lineRule="auto"/>
        <w:jc w:val="center"/>
      </w:pPr>
      <w:r>
        <w:rPr>
          <w:rFonts w:ascii="Times New Roman" w:hAnsi="Times New Roman"/>
          <w:b/>
          <w:color w:val="000000"/>
          <w:sz w:val="22"/>
        </w:rPr>
        <w:t>Figure 4.1: Age Distribution of Yam Farmers in Akpabuyo LGA</w:t>
      </w:r>
    </w:p>
    <w:p>
      <w:pPr>
        <w:spacing w:before="200" w:after="60" w:line="276" w:lineRule="auto"/>
        <w:jc w:val="left"/>
      </w:pPr>
      <w:r>
        <w:rPr>
          <w:rFonts w:ascii="Times New Roman" w:hAnsi="Times New Roman"/>
          <w:b/>
          <w:color w:val="000000"/>
          <w:sz w:val="24"/>
        </w:rPr>
        <w:t>4.1.3 Marital Status of Respondents</w:t>
      </w:r>
    </w:p>
    <w:p>
      <w:pPr>
        <w:spacing w:before="0" w:after="120" w:line="276" w:lineRule="auto"/>
        <w:jc w:val="both"/>
      </w:pPr>
      <w:r>
        <w:rPr>
          <w:rFonts w:ascii="Times New Roman" w:hAnsi="Times New Roman"/>
          <w:b w:val="0"/>
          <w:i w:val="0"/>
          <w:color w:val="000000"/>
          <w:sz w:val="24"/>
        </w:rPr>
        <w:t>The marital status distribution indicates that 81.67% (n = 49) of the farmers were married, 10.00% (n = 6) were widowed, and 8.33% (n = 5) were single, with no divorced respondents recorded. The predominance of married household heads facilitates family labour mobilization for yam cultivation operations.</w:t>
      </w:r>
    </w:p>
    <w:p>
      <w:pPr>
        <w:spacing w:before="200" w:after="60" w:line="276" w:lineRule="auto"/>
        <w:jc w:val="left"/>
      </w:pPr>
      <w:r>
        <w:rPr>
          <w:rFonts w:ascii="Times New Roman" w:hAnsi="Times New Roman"/>
          <w:b/>
          <w:color w:val="000000"/>
          <w:sz w:val="24"/>
        </w:rPr>
        <w:t>4.1.4 Educational Attainment</w:t>
      </w:r>
    </w:p>
    <w:p>
      <w:pPr>
        <w:spacing w:before="0" w:after="120" w:line="276" w:lineRule="auto"/>
        <w:jc w:val="both"/>
      </w:pPr>
      <w:r>
        <w:rPr>
          <w:rFonts w:ascii="Times New Roman" w:hAnsi="Times New Roman"/>
          <w:b w:val="0"/>
          <w:i w:val="0"/>
          <w:color w:val="000000"/>
          <w:sz w:val="24"/>
        </w:rPr>
        <w:t>All 60 respondents (100.00%) possessed formal education: 45.00% (n = 27) completed secondary education, 30.00% (n = 18) completed primary education, and 25.00% (n = 15) attained tertiary education. This literacy profile provides a solid foundation for agricultural communication and comprehension of farm advisory information.</w:t>
      </w:r>
    </w:p>
    <w:p>
      <w:pPr>
        <w:spacing w:before="200" w:after="60" w:line="276" w:lineRule="auto"/>
        <w:jc w:val="left"/>
      </w:pPr>
      <w:r>
        <w:rPr>
          <w:rFonts w:ascii="Times New Roman" w:hAnsi="Times New Roman"/>
          <w:b/>
          <w:color w:val="000000"/>
          <w:sz w:val="24"/>
        </w:rPr>
        <w:t>4.1.5 Household Size</w:t>
      </w:r>
    </w:p>
    <w:p>
      <w:pPr>
        <w:spacing w:before="0" w:after="120" w:line="276" w:lineRule="auto"/>
        <w:jc w:val="both"/>
      </w:pPr>
      <w:r>
        <w:rPr>
          <w:rFonts w:ascii="Times New Roman" w:hAnsi="Times New Roman"/>
          <w:b w:val="0"/>
          <w:i w:val="0"/>
          <w:color w:val="000000"/>
          <w:sz w:val="24"/>
        </w:rPr>
        <w:t>Household size averaged 6.23 ± 1.84 persons, ranging between 3 and 10 persons. In agrarian settings, household size represents both the domestic farm labour pool and the consumption demands that must be sustained from household production and expenditures.</w:t>
      </w:r>
    </w:p>
    <w:p>
      <w:pPr>
        <w:spacing w:before="200" w:after="60" w:line="276" w:lineRule="auto"/>
        <w:jc w:val="left"/>
      </w:pPr>
      <w:r>
        <w:rPr>
          <w:rFonts w:ascii="Times New Roman" w:hAnsi="Times New Roman"/>
          <w:b/>
          <w:color w:val="000000"/>
          <w:sz w:val="24"/>
        </w:rPr>
        <w:t>4.1.6 Yam Farming Experience</w:t>
      </w:r>
    </w:p>
    <w:p>
      <w:pPr>
        <w:spacing w:before="0" w:after="120" w:line="276" w:lineRule="auto"/>
        <w:jc w:val="both"/>
      </w:pPr>
      <w:r>
        <w:rPr>
          <w:rFonts w:ascii="Times New Roman" w:hAnsi="Times New Roman"/>
          <w:b w:val="0"/>
          <w:i w:val="0"/>
          <w:color w:val="000000"/>
          <w:sz w:val="24"/>
        </w:rPr>
        <w:t>Respondents had an average of 18.88 ± 8.56 years of yam farming experience (ranging from 6 to 40 years), indicating extensive practical familiarity with local soils, rainfall regimes, and crop management practices.</w:t>
      </w:r>
    </w:p>
    <w:p>
      <w:pPr>
        <w:spacing w:before="200" w:after="60" w:line="276" w:lineRule="auto"/>
        <w:jc w:val="left"/>
      </w:pPr>
      <w:r>
        <w:rPr>
          <w:rFonts w:ascii="Times New Roman" w:hAnsi="Times New Roman"/>
          <w:b/>
          <w:color w:val="000000"/>
          <w:sz w:val="24"/>
        </w:rPr>
        <w:t>4.1.7 Other Sources of Income</w:t>
      </w:r>
    </w:p>
    <w:p>
      <w:pPr>
        <w:spacing w:before="0" w:after="120" w:line="276" w:lineRule="auto"/>
        <w:jc w:val="both"/>
      </w:pPr>
      <w:r>
        <w:rPr>
          <w:rFonts w:ascii="Times New Roman" w:hAnsi="Times New Roman"/>
          <w:b w:val="0"/>
          <w:i w:val="0"/>
          <w:color w:val="000000"/>
          <w:sz w:val="24"/>
        </w:rPr>
        <w:t>A large majority of respondents (81.67%, n = 49) reported having an additional source of income alongside yam farming, while 18.33% (n = 11) reported no additional income source.</w:t>
      </w:r>
    </w:p>
    <w:p>
      <w:pPr>
        <w:spacing w:before="280" w:after="80" w:line="276" w:lineRule="auto"/>
        <w:jc w:val="left"/>
      </w:pPr>
      <w:r>
        <w:rPr>
          <w:rFonts w:ascii="Times New Roman" w:hAnsi="Times New Roman"/>
          <w:b/>
          <w:color w:val="000000"/>
          <w:sz w:val="24"/>
        </w:rPr>
        <w:t>4.2 Household Expenditure Pattern of Yam Farmers</w:t>
      </w:r>
    </w:p>
    <w:p>
      <w:pPr>
        <w:spacing w:before="0" w:after="120" w:line="276" w:lineRule="auto"/>
        <w:jc w:val="both"/>
      </w:pPr>
      <w:r>
        <w:rPr>
          <w:rFonts w:ascii="Times New Roman" w:hAnsi="Times New Roman"/>
          <w:b w:val="0"/>
          <w:i w:val="0"/>
          <w:color w:val="000000"/>
          <w:sz w:val="24"/>
        </w:rPr>
        <w:t>In smallholder agricultural settings where income flows are seasonal and non-continuous, household consumption expenditure provides an observable, robust measure of household economic welfare. Table 4.2 outlines the mean monthly household expenditure across major budgetary categories for the 60 sampled households in Akpabuyo LGA.</w:t>
      </w:r>
    </w:p>
    <w:p>
      <w:pPr>
        <w:spacing w:before="240" w:after="60" w:line="276" w:lineRule="auto"/>
        <w:jc w:val="left"/>
      </w:pPr>
      <w:r>
        <w:rPr>
          <w:rFonts w:ascii="Times New Roman" w:hAnsi="Times New Roman"/>
          <w:b/>
          <w:color w:val="000000"/>
          <w:sz w:val="24"/>
        </w:rPr>
        <w:t>Table 4.2: Mean Monthly Household Expenditure by Category (N = 60)</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V w:val="none"/>
          <w:insideH w:val="none"/>
        </w:tblBorders>
      </w:tblPr>
      <w:tblGrid>
        <w:gridCol w:w="3120"/>
        <w:gridCol w:w="3120"/>
        <w:gridCol w:w="3120"/>
      </w:tblGrid>
      <w:tr>
        <w:tc>
          <w:tcPr>
            <w:tcW w:type="dxa" w:w="3120"/>
            <w:tcMar>
              <w:top w:w="70" w:type="dxa"/>
              <w:bottom w:w="70" w:type="dxa"/>
              <w:left w:w="100" w:type="dxa"/>
              <w:right w:w="10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1"/>
              </w:rPr>
              <w:t>Expenditure Category</w:t>
            </w:r>
          </w:p>
        </w:tc>
        <w:tc>
          <w:tcPr>
            <w:tcW w:type="dxa" w:w="3120"/>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Mean Monthly Expenditure (₦)</w:t>
            </w:r>
          </w:p>
        </w:tc>
        <w:tc>
          <w:tcPr>
            <w:tcW w:type="dxa" w:w="3120"/>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Budget Share (%)</w:t>
            </w:r>
          </w:p>
        </w:tc>
      </w:tr>
      <w:tr>
        <w:tc>
          <w:tcPr>
            <w:tcW w:type="dxa" w:w="312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Food and groceries</w:t>
            </w:r>
          </w:p>
        </w:tc>
        <w:tc>
          <w:tcPr>
            <w:tcW w:type="dxa" w:w="312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60,703.33</w:t>
            </w:r>
          </w:p>
        </w:tc>
        <w:tc>
          <w:tcPr>
            <w:tcW w:type="dxa" w:w="312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52.40</w:t>
            </w:r>
          </w:p>
        </w:tc>
      </w:tr>
      <w:tr>
        <w:tc>
          <w:tcPr>
            <w:tcW w:type="dxa" w:w="312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Housing and utilities</w:t>
            </w:r>
          </w:p>
        </w:tc>
        <w:tc>
          <w:tcPr>
            <w:tcW w:type="dxa" w:w="312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18,246.67</w:t>
            </w:r>
          </w:p>
        </w:tc>
        <w:tc>
          <w:tcPr>
            <w:tcW w:type="dxa" w:w="312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15.75</w:t>
            </w:r>
          </w:p>
        </w:tc>
      </w:tr>
      <w:tr>
        <w:tc>
          <w:tcPr>
            <w:tcW w:type="dxa" w:w="312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Education</w:t>
            </w:r>
          </w:p>
        </w:tc>
        <w:tc>
          <w:tcPr>
            <w:tcW w:type="dxa" w:w="312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14,528.33</w:t>
            </w:r>
          </w:p>
        </w:tc>
        <w:tc>
          <w:tcPr>
            <w:tcW w:type="dxa" w:w="312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12.54</w:t>
            </w:r>
          </w:p>
        </w:tc>
      </w:tr>
      <w:tr>
        <w:tc>
          <w:tcPr>
            <w:tcW w:type="dxa" w:w="312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Transportation and other</w:t>
            </w:r>
          </w:p>
        </w:tc>
        <w:tc>
          <w:tcPr>
            <w:tcW w:type="dxa" w:w="312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11,875.83</w:t>
            </w:r>
          </w:p>
        </w:tc>
        <w:tc>
          <w:tcPr>
            <w:tcW w:type="dxa" w:w="312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10.25</w:t>
            </w:r>
          </w:p>
        </w:tc>
      </w:tr>
      <w:tr>
        <w:tc>
          <w:tcPr>
            <w:tcW w:type="dxa" w:w="312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Health and medical care</w:t>
            </w:r>
          </w:p>
        </w:tc>
        <w:tc>
          <w:tcPr>
            <w:tcW w:type="dxa" w:w="312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8,631.67</w:t>
            </w:r>
          </w:p>
        </w:tc>
        <w:tc>
          <w:tcPr>
            <w:tcW w:type="dxa" w:w="312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7.45</w:t>
            </w:r>
          </w:p>
        </w:tc>
      </w:tr>
      <w:tr>
        <w:tc>
          <w:tcPr>
            <w:tcW w:type="dxa" w:w="3120"/>
            <w:tcMar>
              <w:top w:w="70" w:type="dxa"/>
              <w:bottom w:w="70" w:type="dxa"/>
              <w:left w:w="100" w:type="dxa"/>
              <w:right w:w="100" w:type="dxa"/>
            </w:tcMar>
            <w:vAlign w:val="center"/>
          </w:tcPr>
          <w:p>
            <w:pPr>
              <w:spacing w:before="40" w:after="40" w:line="240" w:lineRule="auto"/>
              <w:jc w:val="left"/>
            </w:pPr>
            <w:r>
              <w:rPr>
                <w:rFonts w:ascii="Times New Roman" w:hAnsi="Times New Roman"/>
                <w:b/>
                <w:i w:val="0"/>
                <w:color w:val="000000"/>
                <w:sz w:val="21"/>
              </w:rPr>
              <w:t>Reported Total Household Expenditure</w:t>
            </w:r>
          </w:p>
        </w:tc>
        <w:tc>
          <w:tcPr>
            <w:tcW w:type="dxa" w:w="312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t>115,837.50</w:t>
            </w:r>
          </w:p>
        </w:tc>
        <w:tc>
          <w:tcPr>
            <w:tcW w:type="dxa" w:w="312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t>100.00</w:t>
            </w:r>
          </w:p>
        </w:tc>
      </w:tr>
    </w:tbl>
    <w:p>
      <w:pPr>
        <w:spacing w:before="60" w:after="200" w:line="276" w:lineRule="auto"/>
        <w:jc w:val="both"/>
      </w:pPr>
      <w:r>
        <w:rPr>
          <w:rFonts w:ascii="Times New Roman" w:hAnsi="Times New Roman"/>
          <w:i/>
          <w:color w:val="000000"/>
          <w:sz w:val="21"/>
        </w:rPr>
        <w:t>Source: Field Survey Data Analysis, 2026.</w:t>
      </w:r>
    </w:p>
    <w:p>
      <w:pPr>
        <w:spacing w:before="0" w:after="120" w:line="276" w:lineRule="auto"/>
        <w:jc w:val="both"/>
      </w:pPr>
      <w:r>
        <w:rPr>
          <w:rFonts w:ascii="Times New Roman" w:hAnsi="Times New Roman"/>
          <w:b w:val="0"/>
          <w:i w:val="0"/>
          <w:color w:val="000000"/>
          <w:sz w:val="24"/>
        </w:rPr>
        <w:t>As shown in Table 4.2, total monthly household expenditure averaged ₦115,837.50. Food consumption constituted the largest share (₦60,703.33; 52.40% of total budget), consistent with standard rural household budget allocations. Non-food expenses absorbed the remaining 47.60%, led by housing/utilities (15.75%), education (12.54%), transportation (10.25%), and healthcare (7.45%).</w:t>
      </w:r>
    </w:p>
    <w:p>
      <w:pPr>
        <w:spacing w:before="240" w:after="80"/>
        <w:jc w:val="center"/>
      </w:pPr>
      <w:r>
        <w:drawing>
          <wp:inline xmlns:a="http://schemas.openxmlformats.org/drawingml/2006/main" xmlns:pic="http://schemas.openxmlformats.org/drawingml/2006/picture">
            <wp:extent cx="5303520" cy="2833445"/>
            <wp:docPr id="2" name="Picture 2"/>
            <wp:cNvGraphicFramePr>
              <a:graphicFrameLocks noChangeAspect="1"/>
            </wp:cNvGraphicFramePr>
            <a:graphic>
              <a:graphicData uri="http://schemas.openxmlformats.org/drawingml/2006/picture">
                <pic:pic>
                  <pic:nvPicPr>
                    <pic:cNvPr id="0" name="Figure_4_2_Mean_Monthly_Expenditure.png"/>
                    <pic:cNvPicPr/>
                  </pic:nvPicPr>
                  <pic:blipFill>
                    <a:blip r:embed="rId10"/>
                    <a:stretch>
                      <a:fillRect/>
                    </a:stretch>
                  </pic:blipFill>
                  <pic:spPr>
                    <a:xfrm>
                      <a:off x="0" y="0"/>
                      <a:ext cx="5303520" cy="2833445"/>
                    </a:xfrm>
                    <a:prstGeom prst="rect"/>
                  </pic:spPr>
                </pic:pic>
              </a:graphicData>
            </a:graphic>
          </wp:inline>
        </w:drawing>
      </w:r>
    </w:p>
    <w:p>
      <w:pPr>
        <w:spacing w:before="40" w:after="240" w:line="276" w:lineRule="auto"/>
        <w:jc w:val="center"/>
      </w:pPr>
      <w:r>
        <w:rPr>
          <w:rFonts w:ascii="Times New Roman" w:hAnsi="Times New Roman"/>
          <w:b/>
          <w:color w:val="000000"/>
          <w:sz w:val="22"/>
        </w:rPr>
        <w:t>Figure 4.2: Mean Monthly Household Expenditure by Category among Yam Farmers</w:t>
      </w:r>
    </w:p>
    <w:p>
      <w:pPr>
        <w:spacing w:before="280" w:after="80" w:line="276" w:lineRule="auto"/>
        <w:jc w:val="left"/>
      </w:pPr>
      <w:r>
        <w:rPr>
          <w:rFonts w:ascii="Times New Roman" w:hAnsi="Times New Roman"/>
          <w:b/>
          <w:color w:val="000000"/>
          <w:sz w:val="24"/>
        </w:rPr>
        <w:t>4.3 Poverty Status of Yam Farmers (Objective I)</w:t>
      </w:r>
    </w:p>
    <w:p>
      <w:pPr>
        <w:spacing w:before="0" w:after="120" w:line="276" w:lineRule="auto"/>
        <w:jc w:val="both"/>
      </w:pPr>
      <w:r>
        <w:rPr>
          <w:rFonts w:ascii="Times New Roman" w:hAnsi="Times New Roman"/>
          <w:b w:val="0"/>
          <w:i w:val="0"/>
          <w:color w:val="000000"/>
          <w:sz w:val="24"/>
        </w:rPr>
        <w:t>In accordance with Specific Objective I, the poverty status of yam-farming households in Akpabuyo LGA was determined using the relative poverty line method and Foster, Greer, and Thorbecke (FGT, 1984) poverty indices.</w:t>
      </w:r>
    </w:p>
    <w:p>
      <w:pPr>
        <w:spacing w:before="200" w:after="60" w:line="276" w:lineRule="auto"/>
        <w:jc w:val="left"/>
      </w:pPr>
      <w:r>
        <w:rPr>
          <w:rFonts w:ascii="Times New Roman" w:hAnsi="Times New Roman"/>
          <w:b/>
          <w:color w:val="000000"/>
          <w:sz w:val="24"/>
        </w:rPr>
        <w:t>4.3.1 Determination of the Poverty Line</w:t>
      </w:r>
    </w:p>
    <w:p>
      <w:pPr>
        <w:spacing w:before="0" w:after="120" w:line="276" w:lineRule="auto"/>
        <w:jc w:val="both"/>
      </w:pPr>
      <w:r>
        <w:rPr>
          <w:rFonts w:ascii="Times New Roman" w:hAnsi="Times New Roman"/>
          <w:b w:val="0"/>
          <w:i w:val="0"/>
          <w:color w:val="000000"/>
          <w:sz w:val="24"/>
        </w:rPr>
        <w:t>The mean Per-Capita Monthly Household Expenditure (PCHE) across all 60 sampled households was ₦20,289.03 per person per month. Following standard poverty analysis methodology, the relative poverty threshold (z) was established at exactly two-thirds (2/3) of the mean PCHE:</w:t>
      </w:r>
    </w:p>
    <w:p>
      <w:pPr>
        <w:spacing w:before="0" w:after="120" w:line="276" w:lineRule="auto"/>
        <w:jc w:val="center"/>
      </w:pPr>
      <w:r>
        <w:rPr>
          <w:rFonts w:ascii="Times New Roman" w:hAnsi="Times New Roman"/>
          <w:b/>
          <w:i w:val="0"/>
          <w:color w:val="000000"/>
          <w:sz w:val="24"/>
        </w:rPr>
        <w:t>Poverty Line (z) = 2/3 × Mean PCHE = 2/3 × ₦20,289.03 = ₦13,526.02 per person per month.</w:t>
      </w:r>
    </w:p>
    <w:p>
      <w:pPr>
        <w:spacing w:before="240" w:after="60" w:line="276" w:lineRule="auto"/>
        <w:jc w:val="left"/>
      </w:pPr>
      <w:r>
        <w:rPr>
          <w:rFonts w:ascii="Times New Roman" w:hAnsi="Times New Roman"/>
          <w:b/>
          <w:color w:val="000000"/>
          <w:sz w:val="24"/>
        </w:rPr>
        <w:t>Table 4.3: Determination of the Relative Poverty Line among Yam Farmers</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V w:val="none"/>
          <w:insideH w:val="none"/>
        </w:tblBorders>
      </w:tblPr>
      <w:tblGrid>
        <w:gridCol w:w="4680"/>
        <w:gridCol w:w="4680"/>
      </w:tblGrid>
      <w:tr>
        <w:tc>
          <w:tcPr>
            <w:tcW w:type="dxa" w:w="4680"/>
            <w:tcMar>
              <w:top w:w="70" w:type="dxa"/>
              <w:bottom w:w="70" w:type="dxa"/>
              <w:left w:w="100" w:type="dxa"/>
              <w:right w:w="10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1"/>
              </w:rPr>
              <w:t>Parameter / Metric</w:t>
            </w:r>
          </w:p>
        </w:tc>
        <w:tc>
          <w:tcPr>
            <w:tcW w:type="dxa" w:w="4680"/>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Value</w:t>
            </w:r>
          </w:p>
        </w:tc>
      </w:tr>
      <w:tr>
        <w:tc>
          <w:tcPr>
            <w:tcW w:type="dxa" w:w="468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Total Sample Size (N)</w:t>
            </w:r>
          </w:p>
        </w:tc>
        <w:tc>
          <w:tcPr>
            <w:tcW w:type="dxa" w:w="468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60 households</w:t>
            </w:r>
          </w:p>
        </w:tc>
      </w:tr>
      <w:tr>
        <w:tc>
          <w:tcPr>
            <w:tcW w:type="dxa" w:w="468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Mean Per-Capita Monthly Expenditure (Mean PCHE)</w:t>
            </w:r>
          </w:p>
        </w:tc>
        <w:tc>
          <w:tcPr>
            <w:tcW w:type="dxa" w:w="468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₦20,289.03</w:t>
            </w:r>
          </w:p>
        </w:tc>
      </w:tr>
      <w:tr>
        <w:tc>
          <w:tcPr>
            <w:tcW w:type="dxa" w:w="468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Standard Deviation of PCHE</w:t>
            </w:r>
          </w:p>
        </w:tc>
        <w:tc>
          <w:tcPr>
            <w:tcW w:type="dxa" w:w="468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₦8,181.80</w:t>
            </w:r>
          </w:p>
        </w:tc>
      </w:tr>
      <w:tr>
        <w:tc>
          <w:tcPr>
            <w:tcW w:type="dxa" w:w="468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Minimum PCHE</w:t>
            </w:r>
          </w:p>
        </w:tc>
        <w:tc>
          <w:tcPr>
            <w:tcW w:type="dxa" w:w="468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₦10,833.33</w:t>
            </w:r>
          </w:p>
        </w:tc>
      </w:tr>
      <w:tr>
        <w:tc>
          <w:tcPr>
            <w:tcW w:type="dxa" w:w="468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Maximum PCHE</w:t>
            </w:r>
          </w:p>
        </w:tc>
        <w:tc>
          <w:tcPr>
            <w:tcW w:type="dxa" w:w="468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₦42,000.00</w:t>
            </w:r>
          </w:p>
        </w:tc>
      </w:tr>
      <w:tr>
        <w:tc>
          <w:tcPr>
            <w:tcW w:type="dxa" w:w="468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Poverty Line Definition</w:t>
            </w:r>
          </w:p>
        </w:tc>
        <w:tc>
          <w:tcPr>
            <w:tcW w:type="dxa" w:w="468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Two-thirds (2/3) of Mean PCHE</w:t>
            </w:r>
          </w:p>
        </w:tc>
      </w:tr>
      <w:tr>
        <w:tc>
          <w:tcPr>
            <w:tcW w:type="dxa" w:w="4680"/>
            <w:tcMar>
              <w:top w:w="70" w:type="dxa"/>
              <w:bottom w:w="70" w:type="dxa"/>
              <w:left w:w="100" w:type="dxa"/>
              <w:right w:w="100" w:type="dxa"/>
            </w:tcMar>
            <w:vAlign w:val="center"/>
          </w:tcPr>
          <w:p>
            <w:pPr>
              <w:spacing w:before="40" w:after="40" w:line="240" w:lineRule="auto"/>
              <w:jc w:val="left"/>
            </w:pPr>
            <w:r>
              <w:rPr>
                <w:rFonts w:ascii="Times New Roman" w:hAnsi="Times New Roman"/>
                <w:b/>
                <w:i w:val="0"/>
                <w:color w:val="000000"/>
                <w:sz w:val="21"/>
              </w:rPr>
              <w:t>Established Relative Poverty Threshold (z)</w:t>
            </w:r>
          </w:p>
        </w:tc>
        <w:tc>
          <w:tcPr>
            <w:tcW w:type="dxa" w:w="468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t>₦13,526.02 per person/month</w:t>
            </w:r>
          </w:p>
        </w:tc>
      </w:tr>
    </w:tbl>
    <w:p>
      <w:pPr>
        <w:spacing w:before="60" w:after="200" w:line="276" w:lineRule="auto"/>
        <w:jc w:val="both"/>
      </w:pPr>
      <w:r>
        <w:rPr>
          <w:rFonts w:ascii="Times New Roman" w:hAnsi="Times New Roman"/>
          <w:i/>
          <w:color w:val="000000"/>
          <w:sz w:val="21"/>
        </w:rPr>
        <w:t>Source: Field Survey Data Analysis, 2026.</w:t>
      </w:r>
    </w:p>
    <w:p>
      <w:pPr>
        <w:spacing w:before="200" w:after="60" w:line="276" w:lineRule="auto"/>
        <w:jc w:val="left"/>
      </w:pPr>
      <w:r>
        <w:rPr>
          <w:rFonts w:ascii="Times New Roman" w:hAnsi="Times New Roman"/>
          <w:b/>
          <w:color w:val="000000"/>
          <w:sz w:val="24"/>
        </w:rPr>
        <w:t>4.3.2 Poverty Incidence, Depth and Severity</w:t>
      </w:r>
    </w:p>
    <w:p>
      <w:pPr>
        <w:spacing w:before="0" w:after="120" w:line="276" w:lineRule="auto"/>
        <w:jc w:val="both"/>
      </w:pPr>
      <w:r>
        <w:rPr>
          <w:rFonts w:ascii="Times New Roman" w:hAnsi="Times New Roman"/>
          <w:b w:val="0"/>
          <w:i w:val="0"/>
          <w:color w:val="000000"/>
          <w:sz w:val="24"/>
        </w:rPr>
        <w:t>Households with PCHE below ₦13,526.02 were categorized as poor, while those with PCHE equal to or exceeding ₦13,526.02 were categorized as non-poor. FGT poverty indices were estimated for headcount (P0), gap (P1), and severity (P2), as shown in Table 4.4.</w:t>
      </w:r>
    </w:p>
    <w:p>
      <w:pPr>
        <w:spacing w:before="240" w:after="60" w:line="276" w:lineRule="auto"/>
        <w:jc w:val="left"/>
      </w:pPr>
      <w:r>
        <w:rPr>
          <w:rFonts w:ascii="Times New Roman" w:hAnsi="Times New Roman"/>
          <w:b/>
          <w:color w:val="000000"/>
          <w:sz w:val="24"/>
        </w:rPr>
        <w:t>Table 4.4: Poverty Status Distribution and Foster-Greer-Thorbecke (FGT) Poverty Indices (N = 60)</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V w:val="none"/>
          <w:insideH w:val="none"/>
        </w:tblBorders>
      </w:tblPr>
      <w:tblGrid>
        <w:gridCol w:w="2340"/>
        <w:gridCol w:w="2340"/>
        <w:gridCol w:w="2340"/>
        <w:gridCol w:w="2340"/>
      </w:tblGrid>
      <w:tr>
        <w:tc>
          <w:tcPr>
            <w:tcW w:type="dxa" w:w="2340"/>
            <w:tcMar>
              <w:top w:w="70" w:type="dxa"/>
              <w:bottom w:w="70" w:type="dxa"/>
              <w:left w:w="100" w:type="dxa"/>
              <w:right w:w="10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1"/>
              </w:rPr>
              <w:t>Poverty Measure / Category</w:t>
            </w:r>
          </w:p>
        </w:tc>
        <w:tc>
          <w:tcPr>
            <w:tcW w:type="dxa" w:w="2340"/>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Frequency (n)</w:t>
            </w:r>
          </w:p>
        </w:tc>
        <w:tc>
          <w:tcPr>
            <w:tcW w:type="dxa" w:w="2340"/>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Index Value (P_α)</w:t>
            </w:r>
          </w:p>
        </w:tc>
        <w:tc>
          <w:tcPr>
            <w:tcW w:type="dxa" w:w="2340"/>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Percentage (%)</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i w:val="0"/>
                <w:color w:val="000000"/>
                <w:sz w:val="21"/>
              </w:rPr>
              <w:t>A. Poverty Status Classification</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Non-poor (PCHE ≥ ₦13,526.02)</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47</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78.33</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Poor (PCHE &lt; ₦13,526.02)</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13</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21.67</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Total</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60</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100.00</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i w:val="0"/>
                <w:color w:val="000000"/>
                <w:sz w:val="21"/>
              </w:rPr>
              <w:t>B. FGT Poverty Indices</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Poverty Headcount Index (P0)</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13</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0.2167</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21.67</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Poverty Gap Index (P1)</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0.0232</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2.32</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Squared Poverty Gap / Severity (P2)</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0.0034</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0.34</w:t>
            </w:r>
          </w:p>
        </w:tc>
      </w:tr>
    </w:tbl>
    <w:p>
      <w:pPr>
        <w:spacing w:before="60" w:after="200" w:line="276" w:lineRule="auto"/>
        <w:jc w:val="both"/>
      </w:pPr>
      <w:r>
        <w:rPr>
          <w:rFonts w:ascii="Times New Roman" w:hAnsi="Times New Roman"/>
          <w:i/>
          <w:color w:val="000000"/>
          <w:sz w:val="21"/>
        </w:rPr>
        <w:t>Source: Field Survey Data Analysis, 2026.</w:t>
      </w:r>
    </w:p>
    <w:p>
      <w:pPr>
        <w:spacing w:before="240" w:after="80"/>
        <w:jc w:val="center"/>
      </w:pPr>
      <w:r>
        <w:drawing>
          <wp:inline xmlns:a="http://schemas.openxmlformats.org/drawingml/2006/main" xmlns:pic="http://schemas.openxmlformats.org/drawingml/2006/picture">
            <wp:extent cx="5303520" cy="2086009"/>
            <wp:docPr id="3" name="Picture 3"/>
            <wp:cNvGraphicFramePr>
              <a:graphicFrameLocks noChangeAspect="1"/>
            </wp:cNvGraphicFramePr>
            <a:graphic>
              <a:graphicData uri="http://schemas.openxmlformats.org/drawingml/2006/picture">
                <pic:pic>
                  <pic:nvPicPr>
                    <pic:cNvPr id="0" name="Figure_4_3_Poverty_Status.png"/>
                    <pic:cNvPicPr/>
                  </pic:nvPicPr>
                  <pic:blipFill>
                    <a:blip r:embed="rId11"/>
                    <a:stretch>
                      <a:fillRect/>
                    </a:stretch>
                  </pic:blipFill>
                  <pic:spPr>
                    <a:xfrm>
                      <a:off x="0" y="0"/>
                      <a:ext cx="5303520" cy="2086009"/>
                    </a:xfrm>
                    <a:prstGeom prst="rect"/>
                  </pic:spPr>
                </pic:pic>
              </a:graphicData>
            </a:graphic>
          </wp:inline>
        </w:drawing>
      </w:r>
    </w:p>
    <w:p>
      <w:pPr>
        <w:spacing w:before="40" w:after="240" w:line="276" w:lineRule="auto"/>
        <w:jc w:val="center"/>
      </w:pPr>
      <w:r>
        <w:rPr>
          <w:rFonts w:ascii="Times New Roman" w:hAnsi="Times New Roman"/>
          <w:b/>
          <w:color w:val="000000"/>
          <w:sz w:val="22"/>
        </w:rPr>
        <w:t>Figure 4.3: Poverty Status Distribution of Yam Farmers in Akpabuyo LGA</w:t>
      </w:r>
    </w:p>
    <w:p>
      <w:pPr>
        <w:spacing w:before="0" w:after="120" w:line="276" w:lineRule="auto"/>
        <w:jc w:val="both"/>
      </w:pPr>
      <w:r>
        <w:rPr>
          <w:rFonts w:ascii="Times New Roman" w:hAnsi="Times New Roman"/>
          <w:b w:val="0"/>
          <w:i w:val="0"/>
          <w:color w:val="000000"/>
          <w:sz w:val="24"/>
        </w:rPr>
        <w:t>The results indicate that 13 households (21.67%) were poor, yielding a poverty headcount index (P0) of 0.2167. The poverty gap index (P1) was 0.0232 (2.32%), representing an average monthly expenditure deficit of ₦313.42 per person across the entire sample. The poverty severity index (P2) was 0.0034 (0.34%), indicating low inequality among the poor.</w:t>
      </w:r>
    </w:p>
    <w:p>
      <w:pPr>
        <w:spacing w:before="280" w:after="80" w:line="276" w:lineRule="auto"/>
        <w:jc w:val="left"/>
      </w:pPr>
      <w:r>
        <w:rPr>
          <w:rFonts w:ascii="Times New Roman" w:hAnsi="Times New Roman"/>
          <w:b/>
          <w:color w:val="000000"/>
          <w:sz w:val="24"/>
        </w:rPr>
        <w:t>4.4 Poverty Status Profile of Yam Farmers (Objective II)</w:t>
      </w:r>
    </w:p>
    <w:p>
      <w:pPr>
        <w:spacing w:before="0" w:after="120" w:line="276" w:lineRule="auto"/>
        <w:jc w:val="both"/>
      </w:pPr>
      <w:r>
        <w:rPr>
          <w:rFonts w:ascii="Times New Roman" w:hAnsi="Times New Roman"/>
          <w:b w:val="0"/>
          <w:i w:val="0"/>
          <w:color w:val="000000"/>
          <w:sz w:val="24"/>
        </w:rPr>
        <w:t>In accordance with Specific Objective II, this section presents a descriptive poverty status profile comparing poor (n = 13) and non-poor (n = 47) yam-farming households across demographic, human capital, farm asset, and expenditure welfare dimensions. This descriptive profile details the characteristics of each poverty stratum prior to the formal inferential factor analysis conducted under Objective III.</w:t>
      </w:r>
    </w:p>
    <w:p>
      <w:pPr>
        <w:spacing w:before="200" w:after="60" w:line="276" w:lineRule="auto"/>
        <w:jc w:val="left"/>
      </w:pPr>
      <w:r>
        <w:rPr>
          <w:rFonts w:ascii="Times New Roman" w:hAnsi="Times New Roman"/>
          <w:b/>
          <w:color w:val="000000"/>
          <w:sz w:val="24"/>
        </w:rPr>
        <w:t>4.4.1 Socioeconomic and Institutional Profile by Poverty Status</w:t>
      </w:r>
    </w:p>
    <w:p>
      <w:pPr>
        <w:spacing w:before="0" w:after="120" w:line="276" w:lineRule="auto"/>
        <w:jc w:val="both"/>
      </w:pPr>
      <w:r>
        <w:rPr>
          <w:rFonts w:ascii="Times New Roman" w:hAnsi="Times New Roman"/>
          <w:b w:val="0"/>
          <w:i w:val="0"/>
          <w:color w:val="000000"/>
          <w:sz w:val="24"/>
        </w:rPr>
        <w:t>Table 4.5 profiles the categorical demographic, educational, and institutional characteristics of the respondents disaggregated by poverty status.</w:t>
      </w:r>
    </w:p>
    <w:p>
      <w:pPr>
        <w:spacing w:before="240" w:after="60" w:line="276" w:lineRule="auto"/>
        <w:jc w:val="left"/>
      </w:pPr>
      <w:r>
        <w:rPr>
          <w:rFonts w:ascii="Times New Roman" w:hAnsi="Times New Roman"/>
          <w:b/>
          <w:color w:val="000000"/>
          <w:sz w:val="24"/>
        </w:rPr>
        <w:t>Table 4.5: Distribution of Yam Farmers by Poverty Status and Socioeconomic Characteristics</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V w:val="none"/>
          <w:insideH w:val="none"/>
        </w:tblBorders>
      </w:tblPr>
      <w:tblGrid>
        <w:gridCol w:w="1337"/>
        <w:gridCol w:w="1337"/>
        <w:gridCol w:w="1337"/>
        <w:gridCol w:w="1337"/>
        <w:gridCol w:w="1337"/>
        <w:gridCol w:w="1337"/>
        <w:gridCol w:w="1337"/>
      </w:tblGrid>
      <w:tr>
        <w:tc>
          <w:tcPr>
            <w:tcW w:type="dxa" w:w="1337"/>
            <w:tcMar>
              <w:top w:w="70" w:type="dxa"/>
              <w:bottom w:w="70" w:type="dxa"/>
              <w:left w:w="100" w:type="dxa"/>
              <w:right w:w="10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1"/>
              </w:rPr>
              <w:t>Socioeconomic Variable</w:t>
            </w:r>
          </w:p>
        </w:tc>
        <w:tc>
          <w:tcPr>
            <w:tcW w:type="dxa" w:w="1337"/>
            <w:tcMar>
              <w:top w:w="70" w:type="dxa"/>
              <w:bottom w:w="70" w:type="dxa"/>
              <w:left w:w="100" w:type="dxa"/>
              <w:right w:w="10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1"/>
              </w:rPr>
              <w:t>Category</w:t>
            </w:r>
          </w:p>
        </w:tc>
        <w:tc>
          <w:tcPr>
            <w:tcW w:type="dxa" w:w="1337"/>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Poor (n = 13)</w:t>
            </w:r>
          </w:p>
        </w:tc>
        <w:tc>
          <w:tcPr>
            <w:tcW w:type="dxa" w:w="1337"/>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Poor (%)</w:t>
            </w:r>
          </w:p>
        </w:tc>
        <w:tc>
          <w:tcPr>
            <w:tcW w:type="dxa" w:w="1337"/>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Non-Poor (n = 47)</w:t>
            </w:r>
          </w:p>
        </w:tc>
        <w:tc>
          <w:tcPr>
            <w:tcW w:type="dxa" w:w="1337"/>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Non-Poor (%)</w:t>
            </w:r>
          </w:p>
        </w:tc>
        <w:tc>
          <w:tcPr>
            <w:tcW w:type="dxa" w:w="1337"/>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Total (N = 60)</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i w:val="0"/>
                <w:color w:val="000000"/>
                <w:sz w:val="21"/>
              </w:rPr>
              <w:t>Sex</w:t>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Male</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76.92%</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26</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55.32%</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36 (60.00%)</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Female</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23.08%</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21</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44.68%</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24 (40.00%)</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i w:val="0"/>
                <w:color w:val="000000"/>
                <w:sz w:val="21"/>
              </w:rPr>
              <w:t>Marital Status</w:t>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Single</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7.69%</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8.51%</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5 (8.33%)</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Married</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76.92%</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39</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82.98%</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49 (81.67%)</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Widowed</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15.38%</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8.51%</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6 (10.00%)</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i w:val="0"/>
                <w:color w:val="000000"/>
                <w:sz w:val="21"/>
              </w:rPr>
              <w:t>Educational Attainment</w:t>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Primary education (6 yrs)</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5</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38.46%</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13</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27.66%</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18 (30.00%)</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Secondary education (12 yrs)</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7</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53.85%</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42.55%</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27 (45.00%)</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Tertiary education (16 yrs)</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7.69%</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14</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29.79%</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15 (25.00%)</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i w:val="0"/>
                <w:color w:val="000000"/>
                <w:sz w:val="21"/>
              </w:rPr>
              <w:t>Other Income Source</w:t>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Yes (Other source of income)</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9</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69.23%</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85.11%</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49 (81.67%)</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No (No other source of income)</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30.77%</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7</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14.89%</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11 (18.33%)</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i w:val="0"/>
                <w:color w:val="000000"/>
                <w:sz w:val="21"/>
              </w:rPr>
              <w:t>Access to Credit</w:t>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Yes (Obtained credit)</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7.69%</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29</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61.70%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30 (50.00%)</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No (No credit access)</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12</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92.31%</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18</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38.30%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30 (50.00%)</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i w:val="0"/>
                <w:color w:val="000000"/>
                <w:sz w:val="21"/>
              </w:rPr>
              <w:t>Extension Contact</w:t>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Yes (Agent visit)</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21</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44.68%</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21 (35.00%)</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No (No extension visit)</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13</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100.00%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26</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55.32%</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39 (65.00%)</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i w:val="0"/>
                <w:color w:val="000000"/>
                <w:sz w:val="21"/>
              </w:rPr>
              <w:t>Improved Yam Varieties</w:t>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Yes (Uses improved yam varieties)</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4.26%</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 (3.33%)</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No (Does not use improved yam varieties)</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13</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100.00%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45</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95.74%</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58 (96.67%)</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i w:val="0"/>
                <w:color w:val="000000"/>
                <w:sz w:val="21"/>
              </w:rPr>
              <w:t>Fertilizer / Manure Use</w:t>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Yes (Applied nutrients)</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9</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69.23%</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39</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82.98%</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48 (80.00%)</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No (No fertilizer applied)</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30.77%</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8</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17.02%</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12 (20.00%)</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i w:val="0"/>
                <w:color w:val="000000"/>
                <w:sz w:val="21"/>
              </w:rPr>
              <w:t>Modern Tools / Tech</w:t>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Yes (Uses modern farm tools/improved technologies)</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6</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12.77%</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6 (10.00%)</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No (Does not use modern farm tools/improved technologies)</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13</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100.00%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41</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87.23%</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54 (90.00%)</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i w:val="0"/>
                <w:color w:val="000000"/>
                <w:sz w:val="21"/>
              </w:rPr>
              <w:t>Cooperative Membership</w:t>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Yes (Cooperative member)</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76.92%</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39</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82.98%</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49 (81.67%)</w:t>
            </w:r>
          </w:p>
        </w:tc>
      </w:tr>
      <w:tr>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No (Non-member)</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23.08%</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8</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17.02%</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11 (18.33%)</w:t>
            </w:r>
          </w:p>
        </w:tc>
      </w:tr>
    </w:tbl>
    <w:p>
      <w:pPr>
        <w:spacing w:before="60" w:after="200" w:line="276" w:lineRule="auto"/>
        <w:jc w:val="both"/>
      </w:pPr>
      <w:r>
        <w:rPr>
          <w:rFonts w:ascii="Times New Roman" w:hAnsi="Times New Roman"/>
          <w:i/>
          <w:color w:val="000000"/>
          <w:sz w:val="21"/>
        </w:rPr>
        <w:t>Source: Field Survey Data Analysis, 2026. Note: Inferential hypothesis testing is presented under Objective III (Section 4.5).</w:t>
      </w:r>
    </w:p>
    <w:p>
      <w:pPr>
        <w:spacing w:before="200" w:after="60" w:line="276" w:lineRule="auto"/>
        <w:jc w:val="left"/>
      </w:pPr>
      <w:r>
        <w:rPr>
          <w:rFonts w:ascii="Times New Roman" w:hAnsi="Times New Roman"/>
          <w:b/>
          <w:color w:val="000000"/>
          <w:sz w:val="24"/>
        </w:rPr>
        <w:t>4.4.2 Mean Characteristics and Farm Asset Profile by Poverty Status</w:t>
      </w:r>
    </w:p>
    <w:p>
      <w:pPr>
        <w:spacing w:before="0" w:after="120" w:line="276" w:lineRule="auto"/>
        <w:jc w:val="both"/>
      </w:pPr>
      <w:r>
        <w:rPr>
          <w:rFonts w:ascii="Times New Roman" w:hAnsi="Times New Roman"/>
          <w:b w:val="0"/>
          <w:i w:val="0"/>
          <w:color w:val="000000"/>
          <w:sz w:val="24"/>
        </w:rPr>
        <w:t>Table 4.6 summarizes the continuous demographic, experience, and land asset variables across poor and non-poor groups.</w:t>
      </w:r>
    </w:p>
    <w:p>
      <w:pPr>
        <w:spacing w:before="240" w:after="60" w:line="276" w:lineRule="auto"/>
        <w:jc w:val="left"/>
      </w:pPr>
      <w:r>
        <w:rPr>
          <w:rFonts w:ascii="Times New Roman" w:hAnsi="Times New Roman"/>
          <w:b/>
          <w:color w:val="000000"/>
          <w:sz w:val="24"/>
        </w:rPr>
        <w:t>Table 4.6: Mean Characteristics of Yam Farmers by Poverty Status</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V w:val="none"/>
          <w:insideH w:val="none"/>
        </w:tblBorders>
      </w:tblPr>
      <w:tblGrid>
        <w:gridCol w:w="2340"/>
        <w:gridCol w:w="2340"/>
        <w:gridCol w:w="2340"/>
        <w:gridCol w:w="2340"/>
      </w:tblGrid>
      <w:tr>
        <w:tc>
          <w:tcPr>
            <w:tcW w:type="dxa" w:w="2340"/>
            <w:tcMar>
              <w:top w:w="70" w:type="dxa"/>
              <w:bottom w:w="70" w:type="dxa"/>
              <w:left w:w="100" w:type="dxa"/>
              <w:right w:w="10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1"/>
              </w:rPr>
              <w:t>Continuous Variable</w:t>
            </w:r>
          </w:p>
        </w:tc>
        <w:tc>
          <w:tcPr>
            <w:tcW w:type="dxa" w:w="2340"/>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Poor (n = 13) Mean ± SD</w:t>
            </w:r>
          </w:p>
        </w:tc>
        <w:tc>
          <w:tcPr>
            <w:tcW w:type="dxa" w:w="2340"/>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Non-Poor (n = 47) Mean ± SD</w:t>
            </w:r>
          </w:p>
        </w:tc>
        <w:tc>
          <w:tcPr>
            <w:tcW w:type="dxa" w:w="2340"/>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Overall (N = 60) Mean ± SD</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Farmer Chronological Age (years)</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51.31 ± 8.99</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44.57 ± 8.04</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46.03 ± 8.64</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Household Size (persons)</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8.31 ± 1.70</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5.66 ± 1.43</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6.23 ± 1.84</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Yam Farming Experience (years)</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25.77 ± 10.48</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16.98 ± 6.94</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18.88 ± 8.56</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Total Farm Size (hectares)</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1.98 ± 0.48</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2.56 ± 0.82</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2.43 ± 0.79</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Yam Cultivated Area (hectares)</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1.43 ± 0.37</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1.73 ± 0.56</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1.67 ± 0.53</w:t>
            </w:r>
          </w:p>
        </w:tc>
      </w:tr>
    </w:tbl>
    <w:p>
      <w:pPr>
        <w:spacing w:before="60" w:after="200" w:line="276" w:lineRule="auto"/>
        <w:jc w:val="both"/>
      </w:pPr>
      <w:r>
        <w:rPr>
          <w:rFonts w:ascii="Times New Roman" w:hAnsi="Times New Roman"/>
          <w:i/>
          <w:color w:val="000000"/>
          <w:sz w:val="21"/>
        </w:rPr>
        <w:t>Source: Field Survey Data Analysis, 2026. Continuous values reported as arithmetic mean ± sample standard deviation (SD).</w:t>
      </w:r>
    </w:p>
    <w:p>
      <w:pPr>
        <w:spacing w:before="200" w:after="60" w:line="276" w:lineRule="auto"/>
        <w:jc w:val="left"/>
      </w:pPr>
      <w:r>
        <w:rPr>
          <w:rFonts w:ascii="Times New Roman" w:hAnsi="Times New Roman"/>
          <w:b/>
          <w:color w:val="000000"/>
          <w:sz w:val="24"/>
        </w:rPr>
        <w:t>4.4.3 Expenditure Welfare Profile by Poverty Status</w:t>
      </w:r>
    </w:p>
    <w:p>
      <w:pPr>
        <w:spacing w:before="0" w:after="120" w:line="276" w:lineRule="auto"/>
        <w:jc w:val="both"/>
      </w:pPr>
      <w:r>
        <w:rPr>
          <w:rFonts w:ascii="Times New Roman" w:hAnsi="Times New Roman"/>
          <w:b w:val="0"/>
          <w:i w:val="0"/>
          <w:color w:val="000000"/>
          <w:sz w:val="24"/>
        </w:rPr>
        <w:t>Table 4.7 details the expenditure patterns and consumption shortfalls distinguishing poor from non-poor farming families.</w:t>
      </w:r>
    </w:p>
    <w:p>
      <w:pPr>
        <w:spacing w:before="240" w:after="60" w:line="276" w:lineRule="auto"/>
        <w:jc w:val="left"/>
      </w:pPr>
      <w:r>
        <w:rPr>
          <w:rFonts w:ascii="Times New Roman" w:hAnsi="Times New Roman"/>
          <w:b/>
          <w:color w:val="000000"/>
          <w:sz w:val="24"/>
        </w:rPr>
        <w:t>Table 4.7: Expenditure Welfare Profile of Yam Farmers by Poverty Status</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V w:val="none"/>
          <w:insideH w:val="none"/>
        </w:tblBorders>
      </w:tblPr>
      <w:tblGrid>
        <w:gridCol w:w="2340"/>
        <w:gridCol w:w="2340"/>
        <w:gridCol w:w="2340"/>
        <w:gridCol w:w="2340"/>
      </w:tblGrid>
      <w:tr>
        <w:tc>
          <w:tcPr>
            <w:tcW w:type="dxa" w:w="2340"/>
            <w:tcMar>
              <w:top w:w="70" w:type="dxa"/>
              <w:bottom w:w="70" w:type="dxa"/>
              <w:left w:w="100" w:type="dxa"/>
              <w:right w:w="10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1"/>
              </w:rPr>
              <w:t>Welfare &amp; Budgetary Indicator</w:t>
            </w:r>
          </w:p>
        </w:tc>
        <w:tc>
          <w:tcPr>
            <w:tcW w:type="dxa" w:w="2340"/>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Poor (n = 13)</w:t>
            </w:r>
          </w:p>
        </w:tc>
        <w:tc>
          <w:tcPr>
            <w:tcW w:type="dxa" w:w="2340"/>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Non-Poor (n = 47)</w:t>
            </w:r>
          </w:p>
        </w:tc>
        <w:tc>
          <w:tcPr>
            <w:tcW w:type="dxa" w:w="2340"/>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Overall (N = 60)</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Mean Total Monthly Household Expenditure</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₦101,000.00 ± ₦24,782.39</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₦119,941.49 ± ₦27,223.37</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₦115,837.50 ± ₦27,652.42</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Mean Household Size (persons)</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8.31 ± 1.70</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5.66 ± 1.43</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6.23 ± 1.84</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Mean Per-Capita Expenditure (PCHE)</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₦12,079.49 ± ₦919.97</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₦22,559.76 ± ₦7,830.98</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₦20,289.03 ± ₦8,181.80</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Monthly Relative Poverty Line (z)</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₦13,526.02</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₦13,526.02</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₦13,526.02</w:t>
            </w:r>
          </w:p>
        </w:tc>
      </w:tr>
      <w:tr>
        <w:tc>
          <w:tcPr>
            <w:tcW w:type="dxa" w:w="234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Mean Monthly Expenditure Deficit / Surplus</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Shortfall: -₦1,446.53</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Surplus: +₦9,033.74</w:t>
            </w:r>
          </w:p>
        </w:tc>
        <w:tc>
          <w:tcPr>
            <w:tcW w:type="dxa" w:w="234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Mean Shortfall: ₦313.42</w:t>
            </w:r>
          </w:p>
        </w:tc>
      </w:tr>
    </w:tbl>
    <w:p>
      <w:pPr>
        <w:spacing w:before="60" w:after="200" w:line="276" w:lineRule="auto"/>
        <w:jc w:val="both"/>
      </w:pPr>
      <w:r>
        <w:rPr>
          <w:rFonts w:ascii="Times New Roman" w:hAnsi="Times New Roman"/>
          <w:i/>
          <w:color w:val="000000"/>
          <w:sz w:val="21"/>
        </w:rPr>
        <w:t>Source: Field Survey Data Analysis, 2026. Relative poverty threshold z = (2/3) × Mean PCHE = ₦13,526.02 per person per month.</w:t>
      </w:r>
    </w:p>
    <w:p>
      <w:pPr>
        <w:spacing w:before="0" w:after="120" w:line="276" w:lineRule="auto"/>
        <w:jc w:val="both"/>
      </w:pPr>
      <w:r>
        <w:rPr>
          <w:rFonts w:ascii="Times New Roman" w:hAnsi="Times New Roman"/>
          <w:b w:val="0"/>
          <w:i w:val="0"/>
          <w:color w:val="000000"/>
          <w:sz w:val="24"/>
        </w:rPr>
        <w:t>The descriptive poverty profile reveals clear socioeconomic and structural distinctions between poor and non-poor yam-farming households in Akpabuyo Local Government Area. Out of the 60 sampled households, 13 (21.67%) were identified as poor, falling below the relative poverty threshold of ₦13,526.02 per person per month, while 47 households (78.33%) were classified as non-poor. Descriptively, the poor group exhibited a monthly per-capita expenditure averaging ₦12,079.49 (representing a mean monthly consumption deficit of ₦1,446.53 per capita relative to the poverty line), compared to ₦22,559.76 among the non-poor group. Although total monthly household spending was somewhat lower among the poor (₦101,000.00 versus ₦119,941.49), the pronounced divergence in per-capita living standards is heavily driven by demographic composition.</w:t>
      </w:r>
    </w:p>
    <w:p>
      <w:pPr>
        <w:spacing w:before="0" w:after="120" w:line="276" w:lineRule="auto"/>
        <w:jc w:val="both"/>
      </w:pPr>
      <w:r>
        <w:rPr>
          <w:rFonts w:ascii="Times New Roman" w:hAnsi="Times New Roman"/>
          <w:b w:val="0"/>
          <w:i w:val="0"/>
          <w:color w:val="000000"/>
          <w:sz w:val="24"/>
        </w:rPr>
        <w:t>Demographically, poor yam farmers in the study area were characterized by older chronological age and substantially larger household sizes. Farmers classified as poor recorded a mean age of 51.31 ± 8.99 years (with 76.92% being male), compared to an average age of 44.57 ± 8.04 years among non-poor farmers (where females comprised 44.68% of enterprise heads). Furthermore, the poor group had an average household size of 8.31 ± 1.70 persons (ranging from 6 to 10 members), whereas non-poor households averaged 5.66 ± 1.43 members. This descriptive difference indicates that poor households had more household members over which household expenditure was distributed. Because household size also forms the denominator of PCHE, this relationship should be interpreted with caution.</w:t>
      </w:r>
    </w:p>
    <w:p>
      <w:pPr>
        <w:spacing w:before="0" w:after="120" w:line="276" w:lineRule="auto"/>
        <w:jc w:val="both"/>
      </w:pPr>
      <w:r>
        <w:rPr>
          <w:rFonts w:ascii="Times New Roman" w:hAnsi="Times New Roman"/>
          <w:b w:val="0"/>
          <w:i w:val="0"/>
          <w:color w:val="000000"/>
          <w:sz w:val="24"/>
        </w:rPr>
        <w:t>In terms of human capital and secondary income, noticeable descriptive differences emerged between the two welfare strata. While the majority of both poor (53.85%) and non-poor (42.55%) farmers possessed secondary education, non-poor farmers recorded a higher proportion of tertiary educational attainment (29.79%) compared to the poor group (7.69%). Conversely, primary education was more prevalent among poor respondents (38.46%) than among non-poor respondents (27.66%). Regarding other sources of income, 85.11% of non-poor households reported having another source of income, compared with 69.23% of poor households. Thus, a higher proportion of non-poor households reported an additional source of income.</w:t>
      </w:r>
    </w:p>
    <w:p>
      <w:pPr>
        <w:spacing w:before="0" w:after="120" w:line="276" w:lineRule="auto"/>
        <w:jc w:val="both"/>
      </w:pPr>
      <w:r>
        <w:rPr>
          <w:rFonts w:ascii="Times New Roman" w:hAnsi="Times New Roman"/>
          <w:b w:val="0"/>
          <w:i w:val="0"/>
          <w:color w:val="000000"/>
          <w:sz w:val="24"/>
        </w:rPr>
        <w:t>A descriptive examination of farm productive assets indicates that non-poor farmers operated larger land holdings and allocated more area to yam cultivation. Non-poor respondents managed an average total farm holding of 2.56 ± 0.82 hectares (with 1.73 ± 0.56 hectares dedicated specifically to yam), whereas poor respondents cultivated an average total farm size of 1.98 ± 0.48 hectares (with 1.43 ± 0.37 hectares under yam). Poor farmers nevertheless reported greater mean yam-farming experience than non-poor farmers (25.77 ± 10.48 years versus 16.98 ± 6.94 years). This descriptive difference should not be interpreted as evidence that farming experience causes or prevents poverty.</w:t>
      </w:r>
    </w:p>
    <w:p>
      <w:pPr>
        <w:spacing w:before="0" w:after="120" w:line="276" w:lineRule="auto"/>
        <w:jc w:val="both"/>
      </w:pPr>
      <w:r>
        <w:rPr>
          <w:rFonts w:ascii="Times New Roman" w:hAnsi="Times New Roman"/>
          <w:b w:val="0"/>
          <w:i w:val="0"/>
          <w:color w:val="000000"/>
          <w:sz w:val="24"/>
        </w:rPr>
        <w:t>Institutional support and modern input adoption displayed the sharpest descriptive contrast across the poverty profile. Among non-poor farmers, 61.70% had access to agricultural credit during the preceding farming season, compared to only 7.69% (1 out of 13) among poor farmers. Furthermore, 44.68% of non-poor farmers received agricultural extension advisory visits, while 0.00% (0 out of 13) of poor farmers had extension contact. Similarly, modern farm tools and improved yam varieties were utilized exclusively by a fraction of non-poor farmers (12.77% and 4.26%, respectively), while completely absent (0.00%) among the poor. Cooperative society membership was widespread across both groups (76.92% poor versus 82.98% non-poor), reflecting broad community-level social organization.</w:t>
      </w:r>
    </w:p>
    <w:p>
      <w:pPr>
        <w:spacing w:before="0" w:after="120" w:line="276" w:lineRule="auto"/>
        <w:jc w:val="both"/>
      </w:pPr>
      <w:r>
        <w:rPr>
          <w:rFonts w:ascii="Times New Roman" w:hAnsi="Times New Roman"/>
          <w:b w:val="0"/>
          <w:i w:val="0"/>
          <w:color w:val="000000"/>
          <w:sz w:val="24"/>
        </w:rPr>
        <w:t>Overall, the poverty-status profile shows that the poor group was descriptively characterized by older household heads, larger household sizes, smaller farm holdings, lower mean PCHE, and lower reported access to credit and extension services. Poor farmers also recorded greater mean farming experience than non-poor farmers. These descriptive patterns provide a profile of the socioeconomic and farm characteristics of farmers classified as poor and non-poor. Formal statistical tests of the associations between these characteristics and poverty status are presented under Objective III.</w:t>
      </w:r>
    </w:p>
    <w:p>
      <w:pPr>
        <w:spacing w:before="280" w:after="80" w:line="276" w:lineRule="auto"/>
        <w:jc w:val="left"/>
      </w:pPr>
      <w:r>
        <w:rPr>
          <w:rFonts w:ascii="Times New Roman" w:hAnsi="Times New Roman"/>
          <w:b/>
          <w:color w:val="000000"/>
          <w:sz w:val="24"/>
        </w:rPr>
        <w:t>4.5 Factors Associated with Poverty Status (Objective III)</w:t>
      </w:r>
    </w:p>
    <w:p>
      <w:pPr>
        <w:spacing w:before="0" w:after="120" w:line="276" w:lineRule="auto"/>
        <w:jc w:val="both"/>
      </w:pPr>
      <w:r>
        <w:rPr>
          <w:rFonts w:ascii="Times New Roman" w:hAnsi="Times New Roman"/>
          <w:b w:val="0"/>
          <w:i w:val="0"/>
          <w:color w:val="000000"/>
          <w:sz w:val="24"/>
        </w:rPr>
        <w:t>In accordance with Specific Objective III, this section provides formal inferential evaluation of the factors influencing household poverty status. Section 4.5.1 presents non-parametric and chi-square bivariate tests, while Section 4.5.2 presents a multivariable binary logistic regression model.</w:t>
      </w:r>
    </w:p>
    <w:p>
      <w:pPr>
        <w:spacing w:before="200" w:after="60" w:line="276" w:lineRule="auto"/>
        <w:jc w:val="left"/>
      </w:pPr>
      <w:r>
        <w:rPr>
          <w:rFonts w:ascii="Times New Roman" w:hAnsi="Times New Roman"/>
          <w:b/>
          <w:color w:val="000000"/>
          <w:sz w:val="24"/>
        </w:rPr>
        <w:t>4.5.1 Bivariate Analysis of Factors Associated with Poverty Status</w:t>
      </w:r>
    </w:p>
    <w:p>
      <w:pPr>
        <w:spacing w:before="0" w:after="120" w:line="276" w:lineRule="auto"/>
        <w:jc w:val="both"/>
      </w:pPr>
      <w:r>
        <w:rPr>
          <w:rFonts w:ascii="Times New Roman" w:hAnsi="Times New Roman"/>
          <w:b w:val="0"/>
          <w:i w:val="0"/>
          <w:color w:val="000000"/>
          <w:sz w:val="24"/>
        </w:rPr>
        <w:t>Table 4.8 presents bivariate statistical tests comparing poor and non-poor households across candidate explanatory variables.</w:t>
      </w:r>
    </w:p>
    <w:p>
      <w:pPr>
        <w:spacing w:before="240" w:after="60" w:line="276" w:lineRule="auto"/>
        <w:jc w:val="left"/>
      </w:pPr>
      <w:r>
        <w:rPr>
          <w:rFonts w:ascii="Times New Roman" w:hAnsi="Times New Roman"/>
          <w:b/>
          <w:color w:val="000000"/>
          <w:sz w:val="24"/>
        </w:rPr>
        <w:t>Table 4.8: Bivariate Analysis of Factors Associated with Poverty Status (N = 60)</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V w:val="none"/>
          <w:insideH w:val="none"/>
        </w:tblBorders>
      </w:tblPr>
      <w:tblGrid>
        <w:gridCol w:w="1560"/>
        <w:gridCol w:w="1560"/>
        <w:gridCol w:w="1560"/>
        <w:gridCol w:w="1560"/>
        <w:gridCol w:w="1560"/>
        <w:gridCol w:w="1560"/>
      </w:tblGrid>
      <w:tr>
        <w:tc>
          <w:tcPr>
            <w:tcW w:type="dxa" w:w="1560"/>
            <w:tcMar>
              <w:top w:w="70" w:type="dxa"/>
              <w:bottom w:w="70" w:type="dxa"/>
              <w:left w:w="100" w:type="dxa"/>
              <w:right w:w="10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1"/>
              </w:rPr>
              <w:t>Variable / Indicator</w:t>
            </w:r>
          </w:p>
        </w:tc>
        <w:tc>
          <w:tcPr>
            <w:tcW w:type="dxa" w:w="1560"/>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Poor (n = 13)</w:t>
            </w:r>
          </w:p>
        </w:tc>
        <w:tc>
          <w:tcPr>
            <w:tcW w:type="dxa" w:w="1560"/>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Non-Poor (n = 47)</w:t>
            </w:r>
          </w:p>
        </w:tc>
        <w:tc>
          <w:tcPr>
            <w:tcW w:type="dxa" w:w="1560"/>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Overall (N = 60)</w:t>
            </w:r>
          </w:p>
        </w:tc>
        <w:tc>
          <w:tcPr>
            <w:tcW w:type="dxa" w:w="1560"/>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Test Statistic</w:t>
            </w:r>
          </w:p>
        </w:tc>
        <w:tc>
          <w:tcPr>
            <w:tcW w:type="dxa" w:w="1560"/>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p-value</w:t>
            </w:r>
          </w:p>
        </w:tc>
      </w:tr>
      <w:tr>
        <w:tc>
          <w:tcPr>
            <w:tcW w:type="dxa" w:w="1560"/>
            <w:tcMar>
              <w:top w:w="70" w:type="dxa"/>
              <w:bottom w:w="70" w:type="dxa"/>
              <w:left w:w="100" w:type="dxa"/>
              <w:right w:w="100" w:type="dxa"/>
            </w:tcMar>
            <w:vAlign w:val="center"/>
          </w:tcPr>
          <w:p>
            <w:pPr>
              <w:spacing w:before="40" w:after="40" w:line="240" w:lineRule="auto"/>
              <w:jc w:val="left"/>
            </w:pPr>
            <w:r>
              <w:rPr>
                <w:rFonts w:ascii="Times New Roman" w:hAnsi="Times New Roman"/>
                <w:b/>
                <w:i w:val="0"/>
                <w:color w:val="000000"/>
                <w:sz w:val="21"/>
              </w:rPr>
              <w:t>A. Demographic &amp; Human Capital</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r>
      <w:tr>
        <w:tc>
          <w:tcPr>
            <w:tcW w:type="dxa" w:w="156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Age of farmer (years)</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51.31 ± 8.99</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44.57 ± 8.04</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46.03 ± 8.64</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Mann-Whitney U = 432.00</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0.024*</w:t>
            </w:r>
          </w:p>
        </w:tc>
      </w:tr>
      <w:tr>
        <w:tc>
          <w:tcPr>
            <w:tcW w:type="dxa" w:w="156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Household size (persons)</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8.31 ± 1.70</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5.66 ± 1.43</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6.23 ± 1.84</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Mann-Whitney U = 536.00</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&lt; 0.001*</w:t>
            </w:r>
          </w:p>
        </w:tc>
      </w:tr>
      <w:tr>
        <w:tc>
          <w:tcPr>
            <w:tcW w:type="dxa" w:w="156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Educational attainment</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Chi-Square = 2.673 (df=2)</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0.263</w:t>
            </w:r>
          </w:p>
        </w:tc>
      </w:tr>
      <w:tr>
        <w:tc>
          <w:tcPr>
            <w:tcW w:type="dxa" w:w="156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Primary education (6 yrs)</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5 (38.5%)</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13 (27.7%)</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18 (30.0%)</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w:t>
            </w:r>
          </w:p>
        </w:tc>
      </w:tr>
      <w:tr>
        <w:tc>
          <w:tcPr>
            <w:tcW w:type="dxa" w:w="156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Secondary education (12 yrs)</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7 (53.8%)</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20 (42.6%)</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27 (45.0%)</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w:t>
            </w:r>
          </w:p>
        </w:tc>
      </w:tr>
      <w:tr>
        <w:tc>
          <w:tcPr>
            <w:tcW w:type="dxa" w:w="156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Tertiary education (16 yrs)</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 (7.7%)</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14 (29.8%)</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15 (25.0%)</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w:t>
            </w:r>
          </w:p>
        </w:tc>
      </w:tr>
      <w:tr>
        <w:tc>
          <w:tcPr>
            <w:tcW w:type="dxa" w:w="1560"/>
            <w:tcMar>
              <w:top w:w="70" w:type="dxa"/>
              <w:bottom w:w="70" w:type="dxa"/>
              <w:left w:w="100" w:type="dxa"/>
              <w:right w:w="100" w:type="dxa"/>
            </w:tcMar>
            <w:vAlign w:val="center"/>
          </w:tcPr>
          <w:p>
            <w:pPr>
              <w:spacing w:before="40" w:after="40" w:line="240" w:lineRule="auto"/>
              <w:jc w:val="left"/>
            </w:pPr>
            <w:r>
              <w:rPr>
                <w:rFonts w:ascii="Times New Roman" w:hAnsi="Times New Roman"/>
                <w:b/>
                <w:i w:val="0"/>
                <w:color w:val="000000"/>
                <w:sz w:val="21"/>
              </w:rPr>
              <w:t>B. Land Assets &amp; Production Scale</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r>
      <w:tr>
        <w:tc>
          <w:tcPr>
            <w:tcW w:type="dxa" w:w="156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Total farm size (ha)</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1.98 ± 0.48</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2.56 ± 0.82</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2.43 ± 0.79</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Mann-Whitney U = 170.50</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0.016*</w:t>
            </w:r>
          </w:p>
        </w:tc>
      </w:tr>
      <w:tr>
        <w:tc>
          <w:tcPr>
            <w:tcW w:type="dxa" w:w="156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Yam cultivated area (ha)</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1.43 ± 0.37</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1.73 ± 0.56</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1.67 ± 0.53</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Mann-Whitney U = 205.00</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0.072</w:t>
            </w:r>
          </w:p>
        </w:tc>
      </w:tr>
      <w:tr>
        <w:tc>
          <w:tcPr>
            <w:tcW w:type="dxa" w:w="1560"/>
            <w:tcMar>
              <w:top w:w="70" w:type="dxa"/>
              <w:bottom w:w="70" w:type="dxa"/>
              <w:left w:w="100" w:type="dxa"/>
              <w:right w:w="100" w:type="dxa"/>
            </w:tcMar>
            <w:vAlign w:val="center"/>
          </w:tcPr>
          <w:p>
            <w:pPr>
              <w:spacing w:before="40" w:after="40" w:line="240" w:lineRule="auto"/>
              <w:jc w:val="left"/>
            </w:pPr>
            <w:r>
              <w:rPr>
                <w:rFonts w:ascii="Times New Roman" w:hAnsi="Times New Roman"/>
                <w:b/>
                <w:i w:val="0"/>
                <w:color w:val="000000"/>
                <w:sz w:val="21"/>
              </w:rPr>
              <w:t>C. Institutional &amp; Modern Technology</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i w:val="0"/>
                <w:color w:val="000000"/>
                <w:sz w:val="21"/>
              </w:rPr>
            </w:r>
          </w:p>
        </w:tc>
      </w:tr>
      <w:tr>
        <w:tc>
          <w:tcPr>
            <w:tcW w:type="dxa" w:w="156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Access to credit (Yes = 1)</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 (7.7%)</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29 (61.7%)</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30 (50.0%)</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Chi-Square = 9.820 (df=1)</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0.002*</w:t>
            </w:r>
          </w:p>
        </w:tc>
      </w:tr>
      <w:tr>
        <w:tc>
          <w:tcPr>
            <w:tcW w:type="dxa" w:w="156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Extension contact in 12 mos (Yes)</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 (0.0%)</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21 (44.7%)</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21 (35.0%)</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Fisher's exact test</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0.002*</w:t>
            </w:r>
          </w:p>
        </w:tc>
      </w:tr>
      <w:tr>
        <w:tc>
          <w:tcPr>
            <w:tcW w:type="dxa" w:w="156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Improved yam varieties (Yes)</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 (0.0%)</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 (4.3%)</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 (3.3%)</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Fisher's exact test</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1.000</w:t>
            </w:r>
          </w:p>
        </w:tc>
      </w:tr>
      <w:tr>
        <w:tc>
          <w:tcPr>
            <w:tcW w:type="dxa" w:w="156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Fertilizer / manure use (Yes)</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9 (69.2%)</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39 (83.0%)</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48 (80.0%)</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Chi-Square = 0.497 (df=1)</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0.481</w:t>
            </w:r>
          </w:p>
        </w:tc>
      </w:tr>
      <w:tr>
        <w:tc>
          <w:tcPr>
            <w:tcW w:type="dxa" w:w="156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Modern tools / tech (Yes)</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 (0.0%)</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6 (12.8%)</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6 (10.0%)</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Fisher's exact test</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0.324</w:t>
            </w:r>
          </w:p>
        </w:tc>
      </w:tr>
      <w:tr>
        <w:tc>
          <w:tcPr>
            <w:tcW w:type="dxa" w:w="156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 xml:space="preserve">  Cooperative membership (Yes)</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 (76.9%)</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39 (83.0%)</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49 (81.7%)</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Chi-Square = 0.009 (df=1)</w:t>
            </w:r>
          </w:p>
        </w:tc>
        <w:tc>
          <w:tcPr>
            <w:tcW w:type="dxa" w:w="156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0.925</w:t>
            </w:r>
          </w:p>
        </w:tc>
      </w:tr>
    </w:tbl>
    <w:p>
      <w:pPr>
        <w:spacing w:before="60" w:after="200" w:line="276" w:lineRule="auto"/>
        <w:jc w:val="both"/>
      </w:pPr>
      <w:r>
        <w:rPr>
          <w:rFonts w:ascii="Times New Roman" w:hAnsi="Times New Roman"/>
          <w:i/>
          <w:color w:val="000000"/>
          <w:sz w:val="21"/>
        </w:rPr>
        <w:t>Source: Field Survey Data Analysis, 2026. * Significant at p &lt; 0.05.</w:t>
        <w:br/>
        <w:t>Methodological Note: Household size is the arithmetic denominator in per-capita expenditure calculation.</w:t>
      </w:r>
    </w:p>
    <w:p>
      <w:pPr>
        <w:spacing w:before="0" w:after="120" w:line="276" w:lineRule="auto"/>
        <w:jc w:val="both"/>
      </w:pPr>
      <w:r>
        <w:rPr>
          <w:rFonts w:ascii="Times New Roman" w:hAnsi="Times New Roman"/>
          <w:b w:val="0"/>
          <w:i w:val="0"/>
          <w:color w:val="000000"/>
          <w:sz w:val="24"/>
        </w:rPr>
        <w:t>Bivariate tests indicate statistically significant associations with poverty status for farmer age (U = 432.00, p = 0.024), household size (U = 536.00, p &lt; 0.001), total farm size (U = 170.50, p = 0.016), access to credit (χ² = 9.820, p = 0.002), and agricultural extension contact (Fisher's exact p = 0.002).</w:t>
      </w:r>
    </w:p>
    <w:p>
      <w:pPr>
        <w:spacing w:before="200" w:after="60" w:line="276" w:lineRule="auto"/>
        <w:jc w:val="left"/>
      </w:pPr>
      <w:r>
        <w:rPr>
          <w:rFonts w:ascii="Times New Roman" w:hAnsi="Times New Roman"/>
          <w:b/>
          <w:color w:val="000000"/>
          <w:sz w:val="24"/>
        </w:rPr>
        <w:t>4.5.2 Logistic Regression Analysis of Factors Associated with Poverty Status</w:t>
      </w:r>
    </w:p>
    <w:p>
      <w:pPr>
        <w:spacing w:before="0" w:after="120" w:line="276" w:lineRule="auto"/>
        <w:jc w:val="both"/>
      </w:pPr>
      <w:r>
        <w:rPr>
          <w:rFonts w:ascii="Times New Roman" w:hAnsi="Times New Roman"/>
          <w:b w:val="0"/>
          <w:i w:val="0"/>
          <w:color w:val="000000"/>
          <w:sz w:val="24"/>
        </w:rPr>
        <w:t>To evaluate multivariable associations while respecting events-per-variable (EPV) constraints (n = 13 poor events in N = 60), a parsimonious binary logistic regression model was estimated with total farm size (ha) and access to credit (Yes = 1) as key predictors.</w:t>
      </w:r>
    </w:p>
    <w:p>
      <w:pPr>
        <w:spacing w:before="240" w:after="60" w:line="276" w:lineRule="auto"/>
        <w:jc w:val="left"/>
      </w:pPr>
      <w:r>
        <w:rPr>
          <w:rFonts w:ascii="Times New Roman" w:hAnsi="Times New Roman"/>
          <w:b/>
          <w:color w:val="000000"/>
          <w:sz w:val="24"/>
        </w:rPr>
        <w:t>Table 4.9: Binary Logistic Regression Model of Factors Associated with Poverty Status</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V w:val="none"/>
          <w:insideH w:val="none"/>
        </w:tblBorders>
      </w:tblPr>
      <w:tblGrid>
        <w:gridCol w:w="3120"/>
        <w:gridCol w:w="3120"/>
        <w:gridCol w:w="3120"/>
      </w:tblGrid>
      <w:tr>
        <w:tc>
          <w:tcPr>
            <w:tcW w:type="dxa" w:w="3120"/>
            <w:tcMar>
              <w:top w:w="70" w:type="dxa"/>
              <w:bottom w:w="70" w:type="dxa"/>
              <w:left w:w="100" w:type="dxa"/>
              <w:right w:w="10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1"/>
              </w:rPr>
              <w:t>Predictor Variable</w:t>
            </w:r>
          </w:p>
        </w:tc>
        <w:tc>
          <w:tcPr>
            <w:tcW w:type="dxa" w:w="3120"/>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Odds Ratio (OR)</w:t>
            </w:r>
          </w:p>
        </w:tc>
        <w:tc>
          <w:tcPr>
            <w:tcW w:type="dxa" w:w="3120"/>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p-value</w:t>
            </w:r>
          </w:p>
        </w:tc>
      </w:tr>
      <w:tr>
        <w:tc>
          <w:tcPr>
            <w:tcW w:type="dxa" w:w="312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Total farm size (ha)</w:t>
            </w:r>
          </w:p>
        </w:tc>
        <w:tc>
          <w:tcPr>
            <w:tcW w:type="dxa" w:w="312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0.6505</w:t>
            </w:r>
          </w:p>
        </w:tc>
        <w:tc>
          <w:tcPr>
            <w:tcW w:type="dxa" w:w="312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0.5979</w:t>
            </w:r>
          </w:p>
        </w:tc>
      </w:tr>
      <w:tr>
        <w:tc>
          <w:tcPr>
            <w:tcW w:type="dxa" w:w="3120"/>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Access to credit (Yes = 1)</w:t>
            </w:r>
          </w:p>
        </w:tc>
        <w:tc>
          <w:tcPr>
            <w:tcW w:type="dxa" w:w="312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0.0744</w:t>
            </w:r>
          </w:p>
        </w:tc>
        <w:tc>
          <w:tcPr>
            <w:tcW w:type="dxa" w:w="3120"/>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0.0369*</w:t>
            </w:r>
          </w:p>
        </w:tc>
      </w:tr>
    </w:tbl>
    <w:p>
      <w:pPr>
        <w:spacing w:before="60" w:after="200" w:line="276" w:lineRule="auto"/>
        <w:jc w:val="both"/>
      </w:pPr>
      <w:r>
        <w:rPr>
          <w:rFonts w:ascii="Times New Roman" w:hAnsi="Times New Roman"/>
          <w:i/>
          <w:color w:val="000000"/>
          <w:sz w:val="21"/>
        </w:rPr>
        <w:t>Source: Field Survey Data Analysis, 2026. * Significant at p &lt; 0.05.</w:t>
        <w:br/>
        <w:t>Model Diagnostics: Likelihood Ratio χ² = 13.861 (df = 2, p = 0.000978); Nagelkerke R² = 0.3181; Log-Likelihood = -24.719.</w:t>
      </w:r>
    </w:p>
    <w:p>
      <w:pPr>
        <w:spacing w:before="0" w:after="120" w:line="276" w:lineRule="auto"/>
        <w:jc w:val="both"/>
      </w:pPr>
      <w:r>
        <w:rPr>
          <w:rFonts w:ascii="Times New Roman" w:hAnsi="Times New Roman"/>
          <w:b w:val="0"/>
          <w:i w:val="0"/>
          <w:color w:val="000000"/>
          <w:sz w:val="24"/>
        </w:rPr>
        <w:t>The omnibus likelihood ratio test was highly significant (χ² = 13.861, df = 2, p = 0.000978), with Nagelkerke R² = 0.3181, indicating the model's relative explanatory performance based on the Nagelkerke pseudo-R² measure. Access to credit was statistically significant (OR = 0.0744, p = 0.0369; Firth sensitivity OR = 0.110, p = 0.039), indicating 92.56% lower odds of poverty for credit recipients holding farm size constant. Total farm size was not statistically significant after conditioning on credit (OR = 0.6505, p = 0.5979).</w:t>
      </w:r>
    </w:p>
    <w:p>
      <w:pPr>
        <w:spacing w:before="240" w:after="80"/>
        <w:jc w:val="center"/>
      </w:pPr>
      <w:r>
        <w:drawing>
          <wp:inline xmlns:a="http://schemas.openxmlformats.org/drawingml/2006/main" xmlns:pic="http://schemas.openxmlformats.org/drawingml/2006/picture">
            <wp:extent cx="5303520" cy="2302271"/>
            <wp:docPr id="4" name="Picture 4"/>
            <wp:cNvGraphicFramePr>
              <a:graphicFrameLocks noChangeAspect="1"/>
            </wp:cNvGraphicFramePr>
            <a:graphic>
              <a:graphicData uri="http://schemas.openxmlformats.org/drawingml/2006/picture">
                <pic:pic>
                  <pic:nvPicPr>
                    <pic:cNvPr id="0" name="Figure_4_4_Odds_Ratios_Factors_Poverty.png"/>
                    <pic:cNvPicPr/>
                  </pic:nvPicPr>
                  <pic:blipFill>
                    <a:blip r:embed="rId12"/>
                    <a:stretch>
                      <a:fillRect/>
                    </a:stretch>
                  </pic:blipFill>
                  <pic:spPr>
                    <a:xfrm>
                      <a:off x="0" y="0"/>
                      <a:ext cx="5303520" cy="2302271"/>
                    </a:xfrm>
                    <a:prstGeom prst="rect"/>
                  </pic:spPr>
                </pic:pic>
              </a:graphicData>
            </a:graphic>
          </wp:inline>
        </w:drawing>
      </w:r>
    </w:p>
    <w:p>
      <w:pPr>
        <w:spacing w:before="40" w:after="240" w:line="276" w:lineRule="auto"/>
        <w:jc w:val="center"/>
      </w:pPr>
      <w:r>
        <w:rPr>
          <w:rFonts w:ascii="Times New Roman" w:hAnsi="Times New Roman"/>
          <w:b/>
          <w:color w:val="000000"/>
          <w:sz w:val="22"/>
        </w:rPr>
        <w:t>Figure 4.4: Odds Ratios from Binary Logistic Regression Model (95% CIs)</w:t>
      </w:r>
    </w:p>
    <w:p>
      <w:pPr>
        <w:spacing w:before="280" w:after="80" w:line="276" w:lineRule="auto"/>
        <w:jc w:val="left"/>
      </w:pPr>
      <w:r>
        <w:rPr>
          <w:rFonts w:ascii="Times New Roman" w:hAnsi="Times New Roman"/>
          <w:b/>
          <w:color w:val="000000"/>
          <w:sz w:val="24"/>
        </w:rPr>
        <w:t>4.6 Challenges Faced by Yam Farmers (Objective IV)</w:t>
      </w:r>
    </w:p>
    <w:p>
      <w:pPr>
        <w:spacing w:before="0" w:after="120" w:line="276" w:lineRule="auto"/>
        <w:jc w:val="both"/>
      </w:pPr>
      <w:r>
        <w:rPr>
          <w:rFonts w:ascii="Times New Roman" w:hAnsi="Times New Roman"/>
          <w:b w:val="0"/>
          <w:i w:val="0"/>
          <w:color w:val="000000"/>
          <w:sz w:val="24"/>
        </w:rPr>
        <w:t>In accordance with Specific Objective IV, ten production, institutional, and marketing constraints were evaluated using a 5-point Likert scale (1 = Not a Challenge to 5 = Very Severe). Table 4.10 presents the ranked challenges.</w:t>
      </w:r>
    </w:p>
    <w:p>
      <w:pPr>
        <w:spacing w:before="240" w:after="60" w:line="276" w:lineRule="auto"/>
        <w:jc w:val="left"/>
      </w:pPr>
      <w:r>
        <w:rPr>
          <w:rFonts w:ascii="Times New Roman" w:hAnsi="Times New Roman"/>
          <w:b/>
          <w:color w:val="000000"/>
          <w:sz w:val="24"/>
        </w:rPr>
        <w:t>Table 4.10: Severity Ranking of Challenges Faced by Yam Farmers in Akpabuyo LGA (N = 60)</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V w:val="none"/>
          <w:insideH w:val="none"/>
        </w:tblBorders>
      </w:tblPr>
      <w:tblGrid>
        <w:gridCol w:w="1337"/>
        <w:gridCol w:w="1337"/>
        <w:gridCol w:w="1337"/>
        <w:gridCol w:w="1337"/>
        <w:gridCol w:w="1337"/>
        <w:gridCol w:w="1337"/>
        <w:gridCol w:w="1337"/>
      </w:tblGrid>
      <w:tr>
        <w:tc>
          <w:tcPr>
            <w:tcW w:type="dxa" w:w="1337"/>
            <w:tcMar>
              <w:top w:w="70" w:type="dxa"/>
              <w:bottom w:w="70" w:type="dxa"/>
              <w:left w:w="100" w:type="dxa"/>
              <w:right w:w="100" w:type="dxa"/>
            </w:tcMar>
            <w:vAlign w:val="center"/>
            <w:tcBorders>
              <w:bottom w:val="single" w:sz="8" w:space="0" w:color="000000"/>
            </w:tcBorders>
          </w:tcPr>
          <w:p>
            <w:pPr>
              <w:spacing w:before="40" w:after="40" w:line="240" w:lineRule="auto"/>
              <w:jc w:val="center"/>
            </w:pPr>
            <w:r>
              <w:rPr>
                <w:rFonts w:ascii="Times New Roman" w:hAnsi="Times New Roman"/>
                <w:b/>
                <w:i w:val="0"/>
                <w:color w:val="000000"/>
                <w:sz w:val="21"/>
              </w:rPr>
              <w:t>Rank</w:t>
            </w:r>
          </w:p>
        </w:tc>
        <w:tc>
          <w:tcPr>
            <w:tcW w:type="dxa" w:w="1337"/>
            <w:tcMar>
              <w:top w:w="70" w:type="dxa"/>
              <w:bottom w:w="70" w:type="dxa"/>
              <w:left w:w="100" w:type="dxa"/>
              <w:right w:w="10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1"/>
              </w:rPr>
              <w:t>Constraint / Challenge</w:t>
            </w:r>
          </w:p>
        </w:tc>
        <w:tc>
          <w:tcPr>
            <w:tcW w:type="dxa" w:w="1337"/>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Mean Score</w:t>
            </w:r>
          </w:p>
        </w:tc>
        <w:tc>
          <w:tcPr>
            <w:tcW w:type="dxa" w:w="1337"/>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Std. Dev.</w:t>
            </w:r>
          </w:p>
        </w:tc>
        <w:tc>
          <w:tcPr>
            <w:tcW w:type="dxa" w:w="1337"/>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Median</w:t>
            </w:r>
          </w:p>
        </w:tc>
        <w:tc>
          <w:tcPr>
            <w:tcW w:type="dxa" w:w="1337"/>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IQR</w:t>
            </w:r>
          </w:p>
        </w:tc>
        <w:tc>
          <w:tcPr>
            <w:tcW w:type="dxa" w:w="1337"/>
            <w:tcMar>
              <w:top w:w="70" w:type="dxa"/>
              <w:bottom w:w="7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Severity Level</w:t>
            </w:r>
          </w:p>
        </w:tc>
      </w:tr>
      <w:tr>
        <w:tc>
          <w:tcPr>
            <w:tcW w:type="dxa" w:w="1337"/>
            <w:tcMar>
              <w:top w:w="70" w:type="dxa"/>
              <w:bottom w:w="70" w:type="dxa"/>
              <w:left w:w="100" w:type="dxa"/>
              <w:right w:w="100" w:type="dxa"/>
            </w:tcMar>
            <w:vAlign w:val="center"/>
          </w:tcPr>
          <w:p>
            <w:pPr>
              <w:spacing w:before="40" w:after="40" w:line="240" w:lineRule="auto"/>
              <w:jc w:val="center"/>
            </w:pPr>
            <w:r>
              <w:rPr>
                <w:rFonts w:ascii="Times New Roman" w:hAnsi="Times New Roman"/>
                <w:b w:val="0"/>
                <w:i w:val="0"/>
                <w:color w:val="000000"/>
                <w:sz w:val="21"/>
              </w:rPr>
              <w:t>1st</w:t>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High cost and scarcity of farm labour</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4.15</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0.80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Severe</w:t>
            </w:r>
          </w:p>
        </w:tc>
      </w:tr>
      <w:tr>
        <w:tc>
          <w:tcPr>
            <w:tcW w:type="dxa" w:w="1337"/>
            <w:tcMar>
              <w:top w:w="70" w:type="dxa"/>
              <w:bottom w:w="70" w:type="dxa"/>
              <w:left w:w="100" w:type="dxa"/>
              <w:right w:w="100" w:type="dxa"/>
            </w:tcMar>
            <w:vAlign w:val="center"/>
          </w:tcPr>
          <w:p>
            <w:pPr>
              <w:spacing w:before="40" w:after="40" w:line="240" w:lineRule="auto"/>
              <w:jc w:val="center"/>
            </w:pPr>
            <w:r>
              <w:rPr>
                <w:rFonts w:ascii="Times New Roman" w:hAnsi="Times New Roman"/>
                <w:b w:val="0"/>
                <w:i w:val="0"/>
                <w:color w:val="000000"/>
                <w:sz w:val="21"/>
              </w:rPr>
              <w:t>2nd</w:t>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High cost of farm inputs (fertilizer, seeds, chemicals)</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0.96</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Severe</w:t>
            </w:r>
          </w:p>
        </w:tc>
      </w:tr>
      <w:tr>
        <w:tc>
          <w:tcPr>
            <w:tcW w:type="dxa" w:w="1337"/>
            <w:tcMar>
              <w:top w:w="70" w:type="dxa"/>
              <w:bottom w:w="70" w:type="dxa"/>
              <w:left w:w="100" w:type="dxa"/>
              <w:right w:w="100" w:type="dxa"/>
            </w:tcMar>
            <w:vAlign w:val="center"/>
          </w:tcPr>
          <w:p>
            <w:pPr>
              <w:spacing w:before="40" w:after="40" w:line="240" w:lineRule="auto"/>
              <w:jc w:val="center"/>
            </w:pPr>
            <w:r>
              <w:rPr>
                <w:rFonts w:ascii="Times New Roman" w:hAnsi="Times New Roman"/>
                <w:b w:val="0"/>
                <w:i w:val="0"/>
                <w:color w:val="000000"/>
                <w:sz w:val="21"/>
              </w:rPr>
              <w:t>3rd</w:t>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Post-harvest losses and inadequate storage facilities</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3.88</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0.99</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Severe</w:t>
            </w:r>
          </w:p>
        </w:tc>
      </w:tr>
      <w:tr>
        <w:tc>
          <w:tcPr>
            <w:tcW w:type="dxa" w:w="1337"/>
            <w:tcMar>
              <w:top w:w="70" w:type="dxa"/>
              <w:bottom w:w="70" w:type="dxa"/>
              <w:left w:w="100" w:type="dxa"/>
              <w:right w:w="100" w:type="dxa"/>
            </w:tcMar>
            <w:vAlign w:val="center"/>
          </w:tcPr>
          <w:p>
            <w:pPr>
              <w:spacing w:before="40" w:after="40" w:line="240" w:lineRule="auto"/>
              <w:jc w:val="center"/>
            </w:pPr>
            <w:r>
              <w:rPr>
                <w:rFonts w:ascii="Times New Roman" w:hAnsi="Times New Roman"/>
                <w:b w:val="0"/>
                <w:i w:val="0"/>
                <w:color w:val="000000"/>
                <w:sz w:val="21"/>
              </w:rPr>
              <w:t>4th</w:t>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Unpredictable rainfall and climate conditions</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3.70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0.85</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Severe</w:t>
            </w:r>
          </w:p>
        </w:tc>
      </w:tr>
      <w:tr>
        <w:tc>
          <w:tcPr>
            <w:tcW w:type="dxa" w:w="1337"/>
            <w:tcMar>
              <w:top w:w="70" w:type="dxa"/>
              <w:bottom w:w="70" w:type="dxa"/>
              <w:left w:w="100" w:type="dxa"/>
              <w:right w:w="100" w:type="dxa"/>
            </w:tcMar>
            <w:vAlign w:val="center"/>
          </w:tcPr>
          <w:p>
            <w:pPr>
              <w:spacing w:before="40" w:after="40" w:line="240" w:lineRule="auto"/>
              <w:jc w:val="center"/>
            </w:pPr>
            <w:r>
              <w:rPr>
                <w:rFonts w:ascii="Times New Roman" w:hAnsi="Times New Roman"/>
                <w:b w:val="0"/>
                <w:i w:val="0"/>
                <w:color w:val="000000"/>
                <w:sz w:val="21"/>
              </w:rPr>
              <w:t>5th</w:t>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High cost and scarcity of yam stakes</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3.57</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0.89</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Severe</w:t>
            </w:r>
          </w:p>
        </w:tc>
      </w:tr>
      <w:tr>
        <w:tc>
          <w:tcPr>
            <w:tcW w:type="dxa" w:w="1337"/>
            <w:tcMar>
              <w:top w:w="70" w:type="dxa"/>
              <w:bottom w:w="70" w:type="dxa"/>
              <w:left w:w="100" w:type="dxa"/>
              <w:right w:w="100" w:type="dxa"/>
            </w:tcMar>
            <w:vAlign w:val="center"/>
          </w:tcPr>
          <w:p>
            <w:pPr>
              <w:spacing w:before="40" w:after="40" w:line="240" w:lineRule="auto"/>
              <w:jc w:val="center"/>
            </w:pPr>
            <w:r>
              <w:rPr>
                <w:rFonts w:ascii="Times New Roman" w:hAnsi="Times New Roman"/>
                <w:b w:val="0"/>
                <w:i w:val="0"/>
                <w:color w:val="000000"/>
                <w:sz w:val="21"/>
              </w:rPr>
              <w:t>6th</w:t>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Inadequate access to agricultural credit</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3.53</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0.98</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Severe</w:t>
            </w:r>
          </w:p>
        </w:tc>
      </w:tr>
      <w:tr>
        <w:tc>
          <w:tcPr>
            <w:tcW w:type="dxa" w:w="1337"/>
            <w:tcMar>
              <w:top w:w="70" w:type="dxa"/>
              <w:bottom w:w="70" w:type="dxa"/>
              <w:left w:w="100" w:type="dxa"/>
              <w:right w:w="100" w:type="dxa"/>
            </w:tcMar>
            <w:vAlign w:val="center"/>
          </w:tcPr>
          <w:p>
            <w:pPr>
              <w:spacing w:before="40" w:after="40" w:line="240" w:lineRule="auto"/>
              <w:jc w:val="center"/>
            </w:pPr>
            <w:r>
              <w:rPr>
                <w:rFonts w:ascii="Times New Roman" w:hAnsi="Times New Roman"/>
                <w:b w:val="0"/>
                <w:i w:val="0"/>
                <w:color w:val="000000"/>
                <w:sz w:val="21"/>
              </w:rPr>
              <w:t>7th</w:t>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Inadequate agricultural extension services</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3.52</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1.07</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4.00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Severe</w:t>
            </w:r>
          </w:p>
        </w:tc>
      </w:tr>
      <w:tr>
        <w:tc>
          <w:tcPr>
            <w:tcW w:type="dxa" w:w="1337"/>
            <w:tcMar>
              <w:top w:w="70" w:type="dxa"/>
              <w:bottom w:w="70" w:type="dxa"/>
              <w:left w:w="100" w:type="dxa"/>
              <w:right w:w="100" w:type="dxa"/>
            </w:tcMar>
            <w:vAlign w:val="center"/>
          </w:tcPr>
          <w:p>
            <w:pPr>
              <w:spacing w:before="40" w:after="40" w:line="240" w:lineRule="auto"/>
              <w:jc w:val="center"/>
            </w:pPr>
            <w:r>
              <w:rPr>
                <w:rFonts w:ascii="Times New Roman" w:hAnsi="Times New Roman"/>
                <w:b w:val="0"/>
                <w:i w:val="0"/>
                <w:color w:val="000000"/>
                <w:sz w:val="21"/>
              </w:rPr>
              <w:t>8th</w:t>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Pest and disease infestation</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3.38</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0.83</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Moderate</w:t>
            </w:r>
          </w:p>
        </w:tc>
      </w:tr>
      <w:tr>
        <w:tc>
          <w:tcPr>
            <w:tcW w:type="dxa" w:w="1337"/>
            <w:tcMar>
              <w:top w:w="70" w:type="dxa"/>
              <w:bottom w:w="70" w:type="dxa"/>
              <w:left w:w="100" w:type="dxa"/>
              <w:right w:w="100" w:type="dxa"/>
            </w:tcMar>
            <w:vAlign w:val="center"/>
          </w:tcPr>
          <w:p>
            <w:pPr>
              <w:spacing w:before="40" w:after="40" w:line="240" w:lineRule="auto"/>
              <w:jc w:val="center"/>
            </w:pPr>
            <w:r>
              <w:rPr>
                <w:rFonts w:ascii="Times New Roman" w:hAnsi="Times New Roman"/>
                <w:b w:val="0"/>
                <w:i w:val="0"/>
                <w:color w:val="000000"/>
                <w:sz w:val="21"/>
              </w:rPr>
              <w:t>9th</w:t>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Low and unstable prices of yam (n = 59)</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3.12</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0.87</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Moderate</w:t>
            </w:r>
          </w:p>
        </w:tc>
      </w:tr>
      <w:tr>
        <w:tc>
          <w:tcPr>
            <w:tcW w:type="dxa" w:w="1337"/>
            <w:tcMar>
              <w:top w:w="70" w:type="dxa"/>
              <w:bottom w:w="70" w:type="dxa"/>
              <w:left w:w="100" w:type="dxa"/>
              <w:right w:w="100" w:type="dxa"/>
            </w:tcMar>
            <w:vAlign w:val="center"/>
          </w:tcPr>
          <w:p>
            <w:pPr>
              <w:spacing w:before="40" w:after="40" w:line="240" w:lineRule="auto"/>
              <w:jc w:val="center"/>
            </w:pPr>
            <w:r>
              <w:rPr>
                <w:rFonts w:ascii="Times New Roman" w:hAnsi="Times New Roman"/>
                <w:b w:val="0"/>
                <w:i w:val="0"/>
                <w:color w:val="000000"/>
                <w:sz w:val="21"/>
              </w:rPr>
              <w:t>10th</w:t>
            </w:r>
          </w:p>
        </w:tc>
        <w:tc>
          <w:tcPr>
            <w:tcW w:type="dxa" w:w="1337"/>
            <w:tcMar>
              <w:top w:w="70" w:type="dxa"/>
              <w:bottom w:w="70" w:type="dxa"/>
              <w:left w:w="100" w:type="dxa"/>
              <w:right w:w="100" w:type="dxa"/>
            </w:tcMar>
            <w:vAlign w:val="center"/>
          </w:tcPr>
          <w:p>
            <w:pPr>
              <w:spacing w:before="40" w:after="40" w:line="240" w:lineRule="auto"/>
              <w:jc w:val="left"/>
            </w:pPr>
            <w:r>
              <w:rPr>
                <w:rFonts w:ascii="Times New Roman" w:hAnsi="Times New Roman"/>
                <w:b w:val="0"/>
                <w:i w:val="0"/>
                <w:color w:val="000000"/>
                <w:sz w:val="21"/>
              </w:rPr>
              <w:t>Poor access to output markets</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2.90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1.02</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3.00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2.00</w:t>
            </w:r>
          </w:p>
        </w:tc>
        <w:tc>
          <w:tcPr>
            <w:tcW w:type="dxa" w:w="1337"/>
            <w:tcMar>
              <w:top w:w="70" w:type="dxa"/>
              <w:bottom w:w="70" w:type="dxa"/>
              <w:left w:w="100" w:type="dxa"/>
              <w:right w:w="100" w:type="dxa"/>
            </w:tcMar>
            <w:vAlign w:val="center"/>
          </w:tcPr>
          <w:p>
            <w:pPr>
              <w:spacing w:before="40" w:after="40" w:line="240" w:lineRule="auto"/>
              <w:jc w:val="right"/>
            </w:pPr>
            <w:r>
              <w:rPr>
                <w:rFonts w:ascii="Times New Roman" w:hAnsi="Times New Roman"/>
                <w:b w:val="0"/>
                <w:i w:val="0"/>
                <w:color w:val="000000"/>
                <w:sz w:val="21"/>
              </w:rPr>
              <w:t>Moderate</w:t>
            </w:r>
          </w:p>
        </w:tc>
      </w:tr>
    </w:tbl>
    <w:p>
      <w:pPr>
        <w:spacing w:before="60" w:after="200" w:line="276" w:lineRule="auto"/>
        <w:jc w:val="both"/>
      </w:pPr>
      <w:r>
        <w:rPr>
          <w:rFonts w:ascii="Times New Roman" w:hAnsi="Times New Roman"/>
          <w:i/>
          <w:color w:val="000000"/>
          <w:sz w:val="21"/>
        </w:rPr>
        <w:t>Source: Field Survey Data Analysis, 2026. Severity intervals: 1.00–1.80 = Not a Challenge; 1.81–2.60 = Minor; 2.61–3.40 = Moderate; 3.41–4.20 = Severe; 4.21–5.00 = Very Severe.</w:t>
      </w:r>
    </w:p>
    <w:p>
      <w:pPr>
        <w:spacing w:before="240" w:after="80"/>
        <w:jc w:val="center"/>
      </w:pPr>
      <w:r>
        <w:drawing>
          <wp:inline xmlns:a="http://schemas.openxmlformats.org/drawingml/2006/main" xmlns:pic="http://schemas.openxmlformats.org/drawingml/2006/picture">
            <wp:extent cx="5303520" cy="3203481"/>
            <wp:docPr id="5" name="Picture 5"/>
            <wp:cNvGraphicFramePr>
              <a:graphicFrameLocks noChangeAspect="1"/>
            </wp:cNvGraphicFramePr>
            <a:graphic>
              <a:graphicData uri="http://schemas.openxmlformats.org/drawingml/2006/picture">
                <pic:pic>
                  <pic:nvPicPr>
                    <pic:cNvPr id="0" name="Figure_4_5_Challenge_Severity_Ranking.png"/>
                    <pic:cNvPicPr/>
                  </pic:nvPicPr>
                  <pic:blipFill>
                    <a:blip r:embed="rId13"/>
                    <a:stretch>
                      <a:fillRect/>
                    </a:stretch>
                  </pic:blipFill>
                  <pic:spPr>
                    <a:xfrm>
                      <a:off x="0" y="0"/>
                      <a:ext cx="5303520" cy="3203481"/>
                    </a:xfrm>
                    <a:prstGeom prst="rect"/>
                  </pic:spPr>
                </pic:pic>
              </a:graphicData>
            </a:graphic>
          </wp:inline>
        </w:drawing>
      </w:r>
    </w:p>
    <w:p>
      <w:pPr>
        <w:spacing w:before="40" w:after="240" w:line="276" w:lineRule="auto"/>
        <w:jc w:val="center"/>
      </w:pPr>
      <w:r>
        <w:rPr>
          <w:rFonts w:ascii="Times New Roman" w:hAnsi="Times New Roman"/>
          <w:b/>
          <w:color w:val="000000"/>
          <w:sz w:val="22"/>
        </w:rPr>
        <w:t>Figure 4.5: Severity Ranking of Challenges Faced by Yam Farmers in Akpabuyo LGA</w:t>
      </w:r>
    </w:p>
    <w:p>
      <w:pPr>
        <w:spacing w:before="0" w:after="120" w:line="276" w:lineRule="auto"/>
        <w:jc w:val="both"/>
      </w:pPr>
      <w:r>
        <w:rPr>
          <w:rFonts w:ascii="Times New Roman" w:hAnsi="Times New Roman"/>
          <w:b w:val="0"/>
          <w:i w:val="0"/>
          <w:color w:val="000000"/>
          <w:sz w:val="24"/>
        </w:rPr>
        <w:t>The top three constraints were high cost/scarcity of farm labour (mean = 4.15 ± 0.80, Rank 1st; Severe), high input costs (mean = 4.00 ± 0.96, Rank 2nd; Severe), and post-harvest storage losses (mean = 3.88 ± 0.99, Rank 3rd; Severe). Institutional constraints including inadequate credit access (mean = 3.53, Rank 6th) and extension inadequacy (mean = 3.52, Rank 7th) were also categorized as severe.</w:t>
      </w:r>
    </w:p>
    <w:p>
      <w:pPr>
        <w:spacing w:before="280" w:after="80" w:line="276" w:lineRule="auto"/>
        <w:jc w:val="left"/>
      </w:pPr>
      <w:r>
        <w:rPr>
          <w:rFonts w:ascii="Times New Roman" w:hAnsi="Times New Roman"/>
          <w:b/>
          <w:color w:val="000000"/>
          <w:sz w:val="24"/>
        </w:rPr>
        <w:t>4.7 Test of Hypothesis</w:t>
      </w:r>
    </w:p>
    <w:p>
      <w:pPr>
        <w:spacing w:before="0" w:after="120" w:line="276" w:lineRule="auto"/>
        <w:jc w:val="both"/>
      </w:pPr>
      <w:r>
        <w:rPr>
          <w:rFonts w:ascii="Times New Roman" w:hAnsi="Times New Roman"/>
          <w:b w:val="0"/>
          <w:i w:val="0"/>
          <w:color w:val="000000"/>
          <w:sz w:val="24"/>
        </w:rPr>
        <w:t>To provide formal statistical evaluation of the study's framework, the research hypothesis was tested:</w:t>
      </w:r>
    </w:p>
    <w:p>
      <w:pPr>
        <w:spacing w:before="0" w:after="120" w:line="276" w:lineRule="auto"/>
        <w:jc w:val="center"/>
      </w:pPr>
      <w:r>
        <w:rPr>
          <w:rFonts w:ascii="Times New Roman" w:hAnsi="Times New Roman"/>
          <w:b/>
          <w:i w:val="0"/>
          <w:color w:val="000000"/>
          <w:sz w:val="24"/>
        </w:rPr>
        <w:t>H0: Socio-economic variables do not significantly influence the poverty status of yam farmers in Akpabuyo Local Government Area.</w:t>
      </w:r>
    </w:p>
    <w:p>
      <w:pPr>
        <w:spacing w:before="0" w:after="120" w:line="276" w:lineRule="auto"/>
        <w:jc w:val="both"/>
      </w:pPr>
      <w:r>
        <w:rPr>
          <w:rFonts w:ascii="Times New Roman" w:hAnsi="Times New Roman"/>
          <w:b w:val="0"/>
          <w:i w:val="0"/>
          <w:color w:val="000000"/>
          <w:sz w:val="24"/>
        </w:rPr>
        <w:t>The parsimonious binary logistic regression model reported in Table 4.9 served as the principal multivariable test of the hypothesis. The omnibus Likelihood Ratio test was statistically significant (χ² = 13.861, df = 2, p = 0.000978), indicating that the specified two-predictor model provided a statistically significant improvement over the null model. Accordingly, the null hypothesis was rejected with respect to the specified multivariable model.</w:t>
      </w:r>
    </w:p>
    <w:p>
      <w:pPr>
        <w:spacing w:before="0" w:after="120" w:line="276" w:lineRule="auto"/>
        <w:jc w:val="both"/>
      </w:pPr>
      <w:r>
        <w:rPr>
          <w:rFonts w:ascii="Times New Roman" w:hAnsi="Times New Roman"/>
          <w:b w:val="0"/>
          <w:i w:val="0"/>
          <w:color w:val="000000"/>
          <w:sz w:val="24"/>
        </w:rPr>
        <w:t>Within the model, access to credit was significantly associated with poverty status (OR = 0.0744, p = 0.0369), whereas total farm size was not statistically significant (OR = 0.6505, p = 0.5979). Therefore, the findings indicate that the specified multivariable model was statistically significant overall, with access to credit demonstrating the primary significant association.</w:t>
      </w:r>
    </w:p>
    <w:p>
      <w:pPr>
        <w:spacing w:before="280" w:after="80" w:line="276" w:lineRule="auto"/>
        <w:jc w:val="left"/>
      </w:pPr>
      <w:r>
        <w:rPr>
          <w:rFonts w:ascii="Times New Roman" w:hAnsi="Times New Roman"/>
          <w:b/>
          <w:color w:val="000000"/>
          <w:sz w:val="24"/>
        </w:rPr>
        <w:t>4.8 Discussion of Major Findings</w:t>
      </w:r>
    </w:p>
    <w:p>
      <w:pPr>
        <w:spacing w:before="0" w:after="120" w:line="276" w:lineRule="auto"/>
        <w:jc w:val="both"/>
      </w:pPr>
      <w:r>
        <w:rPr>
          <w:rFonts w:ascii="Times New Roman" w:hAnsi="Times New Roman"/>
          <w:b w:val="0"/>
          <w:i w:val="0"/>
          <w:color w:val="000000"/>
          <w:sz w:val="24"/>
        </w:rPr>
        <w:t>This section presents an integrated discussion of findings across the four specific research objectives:</w:t>
      </w:r>
    </w:p>
    <w:p>
      <w:pPr>
        <w:spacing w:before="0" w:after="120" w:line="276" w:lineRule="auto"/>
        <w:jc w:val="both"/>
      </w:pPr>
      <w:r>
        <w:rPr>
          <w:rFonts w:ascii="Times New Roman" w:hAnsi="Times New Roman"/>
          <w:b w:val="0"/>
          <w:i w:val="0"/>
          <w:color w:val="000000"/>
          <w:sz w:val="24"/>
        </w:rPr>
        <w:t>Regarding Objective I (Poverty Measurement), establishing the relative poverty line at ₦13,526.02 per person per month classified 21.67% of households as poor (P0 = 0.2167) and 78.33% as non-poor. The poverty gap (P1 = 0.0232) and severity (P2 = 0.0034) indicate moderate poverty depth and low expenditure inequality. Food expenditure absorbed 52.40% of household budgets, underscoring the dominance of subsistence food needs.</w:t>
      </w:r>
    </w:p>
    <w:p>
      <w:pPr>
        <w:spacing w:before="0" w:after="120" w:line="276" w:lineRule="auto"/>
        <w:jc w:val="both"/>
      </w:pPr>
      <w:r>
        <w:rPr>
          <w:rFonts w:ascii="Times New Roman" w:hAnsi="Times New Roman"/>
          <w:b w:val="0"/>
          <w:i w:val="0"/>
          <w:color w:val="000000"/>
          <w:sz w:val="24"/>
        </w:rPr>
        <w:t>Regarding Objective II (Poverty Status Profile), descriptive comparisons revealed that poor households were older (mean age 51.31 years), had larger family sizes (8.31 persons), operated smaller total farm holdings (1.98 ha), and faced acute institutional exclusion (only 7.69% had credit access and 0.00% received extension visits). In contrast, non-poor households maintained smaller families (5.66 persons), larger farm holdings (2.56 ha), higher secondary income participation (85.11%), and substantially greater credit access (61.70%).</w:t>
      </w:r>
    </w:p>
    <w:p>
      <w:pPr>
        <w:spacing w:before="0" w:after="120" w:line="276" w:lineRule="auto"/>
        <w:jc w:val="both"/>
      </w:pPr>
      <w:r>
        <w:rPr>
          <w:rFonts w:ascii="Times New Roman" w:hAnsi="Times New Roman"/>
          <w:b w:val="0"/>
          <w:i w:val="0"/>
          <w:color w:val="000000"/>
          <w:sz w:val="24"/>
        </w:rPr>
        <w:t>Regarding Objective III (Factors Associated with Poverty), binary logistic regression confirmed that access to credit is significantly associated with lower odds of poverty (OR = 0.0744, p = 0.0369; Firth OR = 0.110, p = 0.039), providing crucial liquidity to finance seasonal input purchases and hired labour. Bivariate tests further highlighted extension contact (p = 0.002) and farm size (p = 0.016) as protective factors.</w:t>
      </w:r>
    </w:p>
    <w:p>
      <w:pPr>
        <w:spacing w:before="0" w:after="120" w:line="276" w:lineRule="auto"/>
        <w:jc w:val="both"/>
      </w:pPr>
      <w:r>
        <w:rPr>
          <w:rFonts w:ascii="Times New Roman" w:hAnsi="Times New Roman"/>
          <w:b w:val="0"/>
          <w:i w:val="0"/>
          <w:color w:val="000000"/>
          <w:sz w:val="24"/>
        </w:rPr>
        <w:t>Regarding Objective IV (Challenges Faced by Yam Farmers), high labour costs (mean = 4.15), high input costs (mean = 4.00), and post-harvest losses (mean = 3.88) were identified as the most severe constraints, reinforcing the econometric finding that liquidity and credit constraints severely hinder smallholder farm performance and living standards.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