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sz w:val="36"/>
        </w:rPr>
        <w:t>STATISTICAL ANALYSIS OUTPUT</w:t>
        <w:br/>
      </w:r>
    </w:p>
    <w:p>
      <w:pPr>
        <w:spacing w:before="240" w:after="480"/>
        <w:jc w:val="center"/>
      </w:pPr>
      <w:r>
        <w:rPr>
          <w:rFonts w:ascii="Times New Roman" w:hAnsi="Times New Roman"/>
          <w:b/>
          <w:sz w:val="26"/>
        </w:rPr>
        <w:t>ANALYSIS OF POVERTY STATUS OF YAM FARMERS IN AKPABUYO LOCAL GOVERNMENT AREA, CROSS RIVER STATE, NIGERIA</w:t>
        <w:br/>
      </w:r>
    </w:p>
    <w:p>
      <w:pPr>
        <w:spacing w:before="720" w:after="2000"/>
        <w:jc w:val="center"/>
      </w:pPr>
      <w:r>
        <w:rPr>
          <w:rFonts w:ascii="Times New Roman" w:hAnsi="Times New Roman"/>
          <w:i w:val="0"/>
          <w:sz w:val="22"/>
        </w:rPr>
        <w:t>Prepared as a Statistical Analysis Appendix to the Dissertation</w:t>
        <w:br/>
        <w:br/>
        <w:t>Department of Agricultural Economics</w:t>
        <w:br/>
        <w:t>Faculty of Agriculture</w:t>
        <w:br/>
        <w:t>University of Calabar, Calabar, Nigeria</w:t>
        <w:br/>
        <w:br/>
        <w:t>September 2026</w:t>
      </w:r>
    </w:p>
    <w:p>
      <w:r>
        <w:br w:type="page"/>
      </w:r>
    </w:p>
    <w:p>
      <w:pPr>
        <w:spacing w:line="276" w:lineRule="auto" w:before="360" w:after="120"/>
        <w:jc w:val="center"/>
      </w:pPr>
      <w:r>
        <w:rPr>
          <w:rFonts w:ascii="Times New Roman" w:hAnsi="Times New Roman"/>
          <w:b/>
          <w:color w:val="000000"/>
          <w:sz w:val="28"/>
        </w:rPr>
        <w:t>APPENDIX 1: DATA VALIDATION AND VARIABLE CODING</w:t>
      </w:r>
    </w:p>
    <w:p>
      <w:pPr>
        <w:spacing w:before="0" w:after="120" w:line="276" w:lineRule="auto"/>
        <w:jc w:val="both"/>
      </w:pPr>
      <w:r>
        <w:rPr>
          <w:rFonts w:ascii="Times New Roman" w:hAnsi="Times New Roman"/>
          <w:b w:val="0"/>
          <w:i w:val="0"/>
          <w:color w:val="000000"/>
          <w:sz w:val="22"/>
        </w:rPr>
        <w:t>This appendix details the dataset validation, screening results, and operational coding of all variables extracted from raw_data.csv for the 60 sampled yam-farming households in Akpabuyo Local Government Area.</w:t>
      </w:r>
    </w:p>
    <w:p>
      <w:pPr>
        <w:spacing w:before="200" w:after="60" w:line="276" w:lineRule="auto"/>
        <w:jc w:val="left"/>
      </w:pPr>
      <w:r>
        <w:rPr>
          <w:rFonts w:ascii="Times New Roman" w:hAnsi="Times New Roman"/>
          <w:b/>
          <w:color w:val="000000"/>
          <w:sz w:val="22"/>
        </w:rPr>
        <w:t>Table A1.1: Dataset Screening and Quality Audit Summary</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3120"/>
        <w:gridCol w:w="3120"/>
        <w:gridCol w:w="3120"/>
      </w:tblGrid>
      <w:tr>
        <w:tc>
          <w:tcPr>
            <w:tcW w:type="dxa" w:w="312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Diagnostic Check</w:t>
            </w:r>
          </w:p>
        </w:tc>
        <w:tc>
          <w:tcPr>
            <w:tcW w:type="dxa" w:w="312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Screening Result</w:t>
            </w:r>
          </w:p>
        </w:tc>
        <w:tc>
          <w:tcPr>
            <w:tcW w:type="dxa" w:w="312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Audit Status</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Source Dataset File</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raw_data.csv</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Verified</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Total Sample Size (N)</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60 farming households</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100.0% Complete</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Missing Values (Demographic &amp; Budgetary)</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0 missing across all primary variables</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Validated</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Missing Values (Challenge Rating Scale)</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1 missing on item 9 (Prices, n = 59)</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Handled</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Duplicate Records</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0 duplicate respondent profiles</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Validated</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Impossible / Out-of-Range Values</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0 negative or invalid entries</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Validated</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Effective Sample Size for Analysis</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N = 60 valid observations</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Final Analytical N = 60</w:t>
            </w:r>
          </w:p>
        </w:tc>
      </w:tr>
    </w:tbl>
    <w:p>
      <w:pPr>
        <w:spacing w:before="40" w:after="200" w:line="276" w:lineRule="auto"/>
        <w:jc w:val="left"/>
      </w:pPr>
      <w:r>
        <w:rPr>
          <w:rFonts w:ascii="Times New Roman" w:hAnsi="Times New Roman"/>
          <w:i/>
          <w:color w:val="000000"/>
          <w:sz w:val="19"/>
        </w:rPr>
        <w:t>Source: Field Survey Data Screening, 2026.</w:t>
      </w:r>
    </w:p>
    <w:p>
      <w:pPr>
        <w:spacing w:before="200" w:after="60" w:line="276" w:lineRule="auto"/>
        <w:jc w:val="left"/>
      </w:pPr>
      <w:r>
        <w:rPr>
          <w:rFonts w:ascii="Times New Roman" w:hAnsi="Times New Roman"/>
          <w:b/>
          <w:color w:val="000000"/>
          <w:sz w:val="22"/>
        </w:rPr>
        <w:t>Table A1.2: Operational Variable Coding Dictionary</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Variable Identifier</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Variable Description</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Data Type</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Measurement Scale / Coding Rules</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SEX</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Gender of farmer</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Categorical</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1 = Male (n = 36, 60.00%); 2/0 = Female (n = 24, 40.00%)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AGE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Farmer chronological age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Continuous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Years (Mean = 46.03, SD = 8.64, Range = 30 to 63)</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MARITAL STATUS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Marital status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Categorical</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Single (8.33%); Married (81.67%); Widowed (10.00%)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EDUCATION</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Highest education completed</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Categorical</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Primary (30.00%); Secondary (45.00%); Tertiary (25.00%)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HOUSE HOLD SIZE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Number of household members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Continuous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Persons (Mean = 6.23, SD = 1.84, Range = 3 to 10)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FARMING EXPERIENCE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Yam farming duration</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Continuous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Years (Mean = 18.88, SD = 8.56, Range = 6 to 40)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OTHER INCOME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Off-farm / non-farm income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Binary</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1 = Yes (n = 49, 81.67%); 2/0 = No (n = 11, 18.33%)</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TOTAL EXPENDITURE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Reported monthly expenditure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Continuous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₦/month (Mean = ₦115,837.50, Range = ₦45,000 to ₦223,500)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PCHE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Per-capita monthly expenditure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Continuous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₦/person/month: Total Expenditure / Household Size</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POVERTY STATUS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Dependent variable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Binary</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1 = Poor (PCHE &lt; ₦13,526.02); 0 = Non-poor (PCHE ≥ ₦13,526.02)</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FARM SIZE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Total land holdings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Continuous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Hectares (Mean = 2.43, SD = 0.79, Range = 1.0 to 4.5 ha)</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YAM AREA</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Area cultivated with yam</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Continuous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Hectares (Mean = 1.67, SD = 0.53, Range = 0.8 to 3.0 ha)</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CREDIT ACCESS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Access to agricultural credit</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Binary</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1 = Yes (n = 30, 50.00%); 2/0 = No (n = 30, 50.00%)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EXTENSION CONTACT</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Extension agent visit in 12 mos</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Binary</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1 = Yes (n = 21, 35.00%); 2/0 = No (n = 39, 65.00%)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COOPERATIVE</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Cooperative membership</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Binary</w:t>
            </w:r>
          </w:p>
        </w:tc>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1 = Yes (n = 49, 81.67%); 2/0 = No (n = 11, 18.33%)</w:t>
            </w:r>
          </w:p>
        </w:tc>
      </w:tr>
    </w:tbl>
    <w:p>
      <w:pPr>
        <w:spacing w:before="40" w:after="200" w:line="276" w:lineRule="auto"/>
        <w:jc w:val="left"/>
      </w:pPr>
      <w:r>
        <w:rPr>
          <w:rFonts w:ascii="Times New Roman" w:hAnsi="Times New Roman"/>
          <w:i/>
          <w:color w:val="000000"/>
          <w:sz w:val="19"/>
        </w:rPr>
        <w:t>Source: Field Survey Data Analysis Coding, 2026.</w:t>
      </w:r>
    </w:p>
    <w:p>
      <w:pPr>
        <w:spacing w:line="276" w:lineRule="auto" w:before="360" w:after="120"/>
        <w:jc w:val="center"/>
      </w:pPr>
      <w:r>
        <w:rPr>
          <w:rFonts w:ascii="Times New Roman" w:hAnsi="Times New Roman"/>
          <w:b/>
          <w:color w:val="000000"/>
          <w:sz w:val="28"/>
        </w:rPr>
        <w:t>APPENDIX 2: FOSTER-GREER-THORBECKE (FGT) POVERTY INDICES</w:t>
      </w:r>
    </w:p>
    <w:p>
      <w:pPr>
        <w:spacing w:before="0" w:after="120" w:line="276" w:lineRule="auto"/>
        <w:jc w:val="both"/>
      </w:pPr>
      <w:r>
        <w:rPr>
          <w:rFonts w:ascii="Times New Roman" w:hAnsi="Times New Roman"/>
          <w:b w:val="0"/>
          <w:i w:val="0"/>
          <w:color w:val="000000"/>
          <w:sz w:val="22"/>
        </w:rPr>
        <w:t>Poverty indices were estimated using the Foster, Greer, and Thorbecke (FGT, 1984) class of decomposable poverty measures across the entire sample and disaggregated by gender group. The poverty threshold (z) was set at two-thirds (2/3) of the mean Per-Capita Monthly Household Expenditure (z = ₦13,526.02).</w:t>
      </w:r>
    </w:p>
    <w:p>
      <w:pPr>
        <w:spacing w:line="276" w:lineRule="auto" w:before="280" w:after="80"/>
        <w:jc w:val="left"/>
      </w:pPr>
      <w:r>
        <w:rPr>
          <w:rFonts w:ascii="Times New Roman" w:hAnsi="Times New Roman"/>
          <w:b/>
          <w:color w:val="000000"/>
          <w:sz w:val="24"/>
        </w:rPr>
        <w:t>2.1 Overall Population FGT Poverty Indices</w:t>
      </w:r>
    </w:p>
    <w:p>
      <w:pPr>
        <w:spacing w:before="200" w:after="60" w:line="276" w:lineRule="auto"/>
        <w:jc w:val="left"/>
      </w:pPr>
      <w:r>
        <w:rPr>
          <w:rFonts w:ascii="Times New Roman" w:hAnsi="Times New Roman"/>
          <w:b/>
          <w:color w:val="000000"/>
          <w:sz w:val="22"/>
        </w:rPr>
        <w:t>Table A2.1: Overall FGT Poverty Indices for Yam Farmers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560"/>
        <w:gridCol w:w="1560"/>
        <w:gridCol w:w="1560"/>
        <w:gridCol w:w="1560"/>
        <w:gridCol w:w="1560"/>
        <w:gridCol w:w="1560"/>
      </w:tblGrid>
      <w:tr>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FGT Metric</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Alpha (α)</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Estimate</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Standard Error (STE)</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95% Conf. Interval</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Poverty Line (z)</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Poverty Headcount Index (P0)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0.2167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0.0536</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[0.1115, 0.3218]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Poverty Gap Index (P1)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0.0232</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0.0070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[0.0095, 0.0368]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Squared Poverty Gap / Severity (P2)</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0.0034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0.0012</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[0.0011, 0.0057]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bl>
    <w:p>
      <w:pPr>
        <w:spacing w:before="40" w:after="200" w:line="276" w:lineRule="auto"/>
        <w:jc w:val="left"/>
      </w:pPr>
      <w:r>
        <w:rPr>
          <w:rFonts w:ascii="Times New Roman" w:hAnsi="Times New Roman"/>
          <w:i/>
          <w:color w:val="000000"/>
          <w:sz w:val="19"/>
        </w:rPr>
        <w:t>Source: Field Survey Data Analysis, 2026. Standard errors (STE) are computed using the sample survey variance estimator of individual FGT normalized poverty shortfall weights w_i = [(z - y_i)/z]^α * I(y_i &lt; z): STE = s_w / sqrt(n), where s_w is the sample standard deviation of w_i, with 95% confidence intervals given by [Estimate ± 1.96 * STE] (bounded below by 0.0000).</w:t>
      </w:r>
    </w:p>
    <w:p>
      <w:pPr>
        <w:spacing w:line="276" w:lineRule="auto" w:before="280" w:after="80"/>
        <w:jc w:val="left"/>
      </w:pPr>
      <w:r>
        <w:rPr>
          <w:rFonts w:ascii="Times New Roman" w:hAnsi="Times New Roman"/>
          <w:b/>
          <w:color w:val="000000"/>
          <w:sz w:val="24"/>
        </w:rPr>
        <w:t>2.2 FGT Poverty Indices Disaggregated by Gender</w:t>
      </w:r>
    </w:p>
    <w:p>
      <w:pPr>
        <w:spacing w:before="0" w:after="120" w:line="276" w:lineRule="auto"/>
        <w:jc w:val="both"/>
      </w:pPr>
      <w:r>
        <w:rPr>
          <w:rFonts w:ascii="Times New Roman" w:hAnsi="Times New Roman"/>
          <w:b w:val="0"/>
          <w:i w:val="0"/>
          <w:color w:val="000000"/>
          <w:sz w:val="22"/>
        </w:rPr>
        <w:t>The output format below presents subgroup decompositions by respondent gender (Group 1 = Male, n = 36; Group 2 = Female, n = 24) across the three FGT alpha parameters, calculated directly from raw_data.csv using the sample survey variance estimator.</w:t>
      </w:r>
    </w:p>
    <w:p>
      <w:pPr>
        <w:spacing w:before="200" w:after="60" w:line="276" w:lineRule="auto"/>
        <w:jc w:val="left"/>
      </w:pPr>
      <w:r>
        <w:rPr>
          <w:rFonts w:ascii="Times New Roman" w:hAnsi="Times New Roman"/>
          <w:b/>
          <w:color w:val="000000"/>
          <w:sz w:val="22"/>
        </w:rPr>
        <w:t>Table A2.2: FGT Poverty Indices by Gender Group (alpha = 0.00, 1.00, 2.00)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560"/>
        <w:gridCol w:w="1560"/>
        <w:gridCol w:w="1560"/>
        <w:gridCol w:w="1560"/>
        <w:gridCol w:w="1560"/>
        <w:gridCol w:w="1560"/>
      </w:tblGrid>
      <w:tr>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Group Variable: Gender</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Estimate</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STE</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LB</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UB</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Pov. Line</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0"/>
              </w:rPr>
              <w:t>Parameter alpha: 0.00 (Poverty Incidence)</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Male (Group 1, n = 36)</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0.2778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0.0757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0.1294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0.4262</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Female (Group 2, n = 24)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0.1250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0.0690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0.2602</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Population (Overall, N = 60)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0.2167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0.0536</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0.1115</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0.3218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0"/>
              </w:rPr>
              <w:t>Parameter alpha: 1.00 (Poverty Depth)</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Male (Group 1, n = 36)</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0.0293</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0.0096</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0.0105</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0.0481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Female (Group 2, n = 24)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0.0140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0.0098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0.0331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Population (Overall, N = 60)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0.0232</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0.0070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0.0095</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0.0368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0"/>
              </w:rPr>
              <w:t>Parameter alpha: 2.00 (Poverty Severity)</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Male (Group 1, n = 36)</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0.0041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0.0015</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0.0011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0.0071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Female (Group 2, n = 24)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0.0024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0.0018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0.0059</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Population (Overall, N = 60)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0.0034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0.0012</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0.0011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0.0057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13526.02</w:t>
            </w:r>
          </w:p>
        </w:tc>
      </w:tr>
    </w:tbl>
    <w:p>
      <w:pPr>
        <w:spacing w:before="40" w:after="200" w:line="276" w:lineRule="auto"/>
        <w:jc w:val="left"/>
      </w:pPr>
      <w:r>
        <w:rPr>
          <w:rFonts w:ascii="Times New Roman" w:hAnsi="Times New Roman"/>
          <w:i/>
          <w:color w:val="000000"/>
          <w:sz w:val="19"/>
        </w:rPr>
        <w:t>Source: Field Survey Data Analysis, 2026. STE = Standard Error of estimate (s_w / sqrt(n)); LB = Lower Bound of 95% CI; UB = Upper Bound of 95% CI.</w:t>
      </w:r>
    </w:p>
    <w:p>
      <w:pPr>
        <w:spacing w:line="276" w:lineRule="auto" w:before="360" w:after="120"/>
        <w:jc w:val="center"/>
      </w:pPr>
      <w:r>
        <w:rPr>
          <w:rFonts w:ascii="Times New Roman" w:hAnsi="Times New Roman"/>
          <w:b/>
          <w:color w:val="000000"/>
          <w:sz w:val="28"/>
        </w:rPr>
        <w:t>APPENDIX 3: BIVARIATE STATISTICAL ANALYSIS</w:t>
      </w:r>
    </w:p>
    <w:p>
      <w:pPr>
        <w:spacing w:before="0" w:after="120" w:line="276" w:lineRule="auto"/>
        <w:jc w:val="both"/>
      </w:pPr>
      <w:r>
        <w:rPr>
          <w:rFonts w:ascii="Times New Roman" w:hAnsi="Times New Roman"/>
          <w:b w:val="0"/>
          <w:i w:val="0"/>
          <w:color w:val="000000"/>
          <w:sz w:val="22"/>
        </w:rPr>
        <w:t>Bivariate statistical tests were conducted to examine differences between poor (n = 13) and non-poor (n = 47) households across demographic, human capital, farm asset, and institutional variables. Non-parametric Mann-Whitney U tests were employed for continuous variables, while Pearson's Chi-square tests (or Fisher's exact tests for 2×2 sparse tables) were used for categorical variables.</w:t>
      </w:r>
    </w:p>
    <w:p>
      <w:pPr>
        <w:spacing w:before="200" w:after="60" w:line="276" w:lineRule="auto"/>
        <w:jc w:val="left"/>
      </w:pPr>
      <w:r>
        <w:rPr>
          <w:rFonts w:ascii="Times New Roman" w:hAnsi="Times New Roman"/>
          <w:b/>
          <w:color w:val="000000"/>
          <w:sz w:val="22"/>
        </w:rPr>
        <w:t>Table A3.1: Detailed Bivariate Statistical Test Outputs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560"/>
        <w:gridCol w:w="1560"/>
        <w:gridCol w:w="1560"/>
        <w:gridCol w:w="1560"/>
        <w:gridCol w:w="1560"/>
        <w:gridCol w:w="1560"/>
      </w:tblGrid>
      <w:tr>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Explanatory Variable</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Poor (n = 13)</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Non-Poor (n = 47)</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Overall (N = 60)</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Statistical Test</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p-value</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0"/>
              </w:rPr>
              <w:t>A. Demographic &amp; Human Capital</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Age of farmer (years)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51.31 ± 8.99</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44.57 ± 8.04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46.03 ± 8.64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Mann-Whitney U = 432.00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0.024*</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Household size (persons)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8.31 ± 1.70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5.66 ± 1.43</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6.23 ± 1.84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Mann-Whitney U = 536.00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&lt; 0.001*</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0"/>
              </w:rPr>
              <w:t xml:space="preserve">  Educational attainment</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t>Pearson Chi2(2) = 2.673</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t>0.263</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Primary education (6 yrs)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5 (38.5%)</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13 (27.7%)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18 (30.0%)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Secondary education (12 yrs)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7 (53.8%)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20 (42.6%)</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27 (45.0%)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Tertiary education (16 yrs)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 (7.7%)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14 (29.8%)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15 (25.0%)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0"/>
              </w:rPr>
              <w:t>B. Land Assets &amp; Production Scale</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Total farm size (ha)</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1.98 ± 0.48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2.56 ± 0.82</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2.43 ± 0.79</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Mann-Whitney U = 170.50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0.016*</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Yam cultivated area (ha)</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1.43 ± 0.37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1.73 ± 0.56</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1.67 ± 0.53</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Mann-Whitney U = 205.00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0.072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0"/>
              </w:rPr>
              <w:t>C. Institutional Access &amp; Modern Inputs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i w:val="0"/>
                <w:color w:val="000000"/>
                <w:sz w:val="20"/>
              </w:rPr>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Access to credit (Yes = 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 (7.7%)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29 (61.7%)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30 (50.0%)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Pearson Chi2(1) = 9.820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Extension contact in 12 mos (Yes)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 (0.0%)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21 (44.7%)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21 (35.0%)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Fisher's exact test</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Improved yam varieties (Yes)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 (0.0%)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 (4.3%)</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 (3.3%)</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Fisher's exact test</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1.000</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Fertilizer / manure use (Yes)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9 (69.2%)</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39 (83.0%)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48 (80.0%)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Pearson Chi2(1) = 0.497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0.481</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Modern tools / tech (Yes)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 (0.0%)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6 (12.8%)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6 (10.0%)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Fisher's exact test</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0.324</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 xml:space="preserve">  Cooperative membership (Yes)</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10 (76.9%)</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39 (83.0%)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49 (81.7%)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Pearson Chi2(1) = 0.009</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0.925</w:t>
            </w:r>
          </w:p>
        </w:tc>
      </w:tr>
    </w:tbl>
    <w:p>
      <w:pPr>
        <w:spacing w:before="40" w:after="200" w:line="276" w:lineRule="auto"/>
        <w:jc w:val="left"/>
      </w:pPr>
      <w:r>
        <w:rPr>
          <w:rFonts w:ascii="Times New Roman" w:hAnsi="Times New Roman"/>
          <w:i/>
          <w:color w:val="000000"/>
          <w:sz w:val="19"/>
        </w:rPr>
        <w:t>Source: Field Survey Data Analysis, 2026. * Significant at p &lt; 0.05.</w:t>
        <w:br/>
        <w:t>Methodological Note: Household size is the denominator in per-capita expenditure calculation, creating a mechanical negative relationship with PCHE.</w:t>
      </w:r>
    </w:p>
    <w:p>
      <w:pPr>
        <w:spacing w:line="276" w:lineRule="auto" w:before="360" w:after="120"/>
        <w:jc w:val="center"/>
      </w:pPr>
      <w:r>
        <w:rPr>
          <w:rFonts w:ascii="Times New Roman" w:hAnsi="Times New Roman"/>
          <w:b/>
          <w:color w:val="000000"/>
          <w:sz w:val="28"/>
        </w:rPr>
        <w:t>APPENDIX 4: RESULTS OF LOGISTIC REGRESSION</w:t>
      </w:r>
    </w:p>
    <w:p>
      <w:pPr>
        <w:spacing w:before="0" w:after="120" w:line="276" w:lineRule="auto"/>
        <w:jc w:val="both"/>
      </w:pPr>
      <w:r>
        <w:rPr>
          <w:rFonts w:ascii="Times New Roman" w:hAnsi="Times New Roman"/>
          <w:b w:val="0"/>
          <w:i w:val="0"/>
          <w:color w:val="000000"/>
          <w:sz w:val="22"/>
        </w:rPr>
        <w:t>This appendix presents the logistic regression outputs evaluating factors associated with household poverty status (1 = Poor, 0 = Non-poor). Section 4.1 documents the exploratory assessment of the candidate predictor set and discusses model diagnostics, while Section 4.2 presents the final parsimonious multivariable logistic regression model.</w:t>
      </w:r>
    </w:p>
    <w:p>
      <w:pPr>
        <w:spacing w:line="276" w:lineRule="auto" w:before="280" w:after="80"/>
        <w:jc w:val="left"/>
      </w:pPr>
      <w:r>
        <w:rPr>
          <w:rFonts w:ascii="Times New Roman" w:hAnsi="Times New Roman"/>
          <w:b/>
          <w:color w:val="000000"/>
          <w:sz w:val="24"/>
        </w:rPr>
        <w:t>4.1 Exploratory Model Evaluation and Sparsity Assessment</w:t>
      </w:r>
    </w:p>
    <w:p>
      <w:pPr>
        <w:spacing w:before="0" w:after="120" w:line="276" w:lineRule="auto"/>
        <w:jc w:val="both"/>
      </w:pPr>
      <w:r>
        <w:rPr>
          <w:rFonts w:ascii="Times New Roman" w:hAnsi="Times New Roman"/>
          <w:b w:val="0"/>
          <w:i w:val="0"/>
          <w:color w:val="000000"/>
          <w:sz w:val="22"/>
        </w:rPr>
        <w:t>Prior to finalizing the empirical specification, candidate predictors were evaluated for events-per-variable (EPV) suitability and cell sparsity. In a sample of N = 60 with 13 events of interest (poor households), fitting an unconstrained 9-variable multivariable model yields an EPV ratio of 1.44 (substantially below the standard econometric rule-of-thumb of 10–15 EPV). Furthermore, three institutional/technology covariates exhibited zero-cell frequencies among the poor (0 of 13 poor had extension contact, 0 of 13 used improved varieties, and 0 of 13 used modern tools), creating quasi-complete separation, infinite standard errors, and unstable odds ratios in unpenalized maximum likelihood estimation. Consequently, the final model was restricted to two defensible predictors: total farm size and access to credit.</w:t>
      </w:r>
    </w:p>
    <w:p>
      <w:pPr>
        <w:spacing w:line="276" w:lineRule="auto" w:before="280" w:after="80"/>
        <w:jc w:val="left"/>
      </w:pPr>
      <w:r>
        <w:rPr>
          <w:rFonts w:ascii="Times New Roman" w:hAnsi="Times New Roman"/>
          <w:b/>
          <w:color w:val="000000"/>
          <w:sz w:val="24"/>
        </w:rPr>
        <w:t>4.2 Final Parsimonious Binary Logistic Regression Model</w:t>
      </w:r>
    </w:p>
    <w:p>
      <w:pPr>
        <w:spacing w:before="0" w:after="120" w:line="276" w:lineRule="auto"/>
        <w:jc w:val="both"/>
      </w:pPr>
      <w:r>
        <w:rPr>
          <w:rFonts w:ascii="Times New Roman" w:hAnsi="Times New Roman"/>
          <w:b w:val="0"/>
          <w:i w:val="0"/>
          <w:color w:val="000000"/>
          <w:sz w:val="22"/>
        </w:rPr>
        <w:t>The tables below present the software-style statistical output for the final parsimonious logistic regression model.</w:t>
      </w:r>
    </w:p>
    <w:p>
      <w:pPr>
        <w:spacing w:before="0" w:after="40" w:line="240" w:lineRule="auto"/>
        <w:jc w:val="left"/>
      </w:pPr>
      <w:r>
        <w:rPr>
          <w:rFonts w:ascii="Courier New" w:hAnsi="Courier New"/>
          <w:color w:val="000000"/>
          <w:sz w:val="19"/>
        </w:rPr>
        <w:t>Logistic regression                               Number of obs   =         60</w:t>
      </w:r>
    </w:p>
    <w:p>
      <w:pPr>
        <w:spacing w:before="0" w:after="40" w:line="240" w:lineRule="auto"/>
        <w:jc w:val="left"/>
      </w:pPr>
      <w:r>
        <w:rPr>
          <w:rFonts w:ascii="Courier New" w:hAnsi="Courier New"/>
          <w:color w:val="000000"/>
          <w:sz w:val="19"/>
        </w:rPr>
        <w:t xml:space="preserve">                                                  LR chi2(2)      =      13.86</w:t>
      </w:r>
    </w:p>
    <w:p>
      <w:pPr>
        <w:spacing w:before="0" w:after="40" w:line="240" w:lineRule="auto"/>
        <w:jc w:val="left"/>
      </w:pPr>
      <w:r>
        <w:rPr>
          <w:rFonts w:ascii="Courier New" w:hAnsi="Courier New"/>
          <w:color w:val="000000"/>
          <w:sz w:val="19"/>
        </w:rPr>
        <w:t xml:space="preserve">                                                  Prob &gt; chi2     =     0.0010</w:t>
      </w:r>
    </w:p>
    <w:p>
      <w:pPr>
        <w:spacing w:before="0" w:after="40" w:line="240" w:lineRule="auto"/>
        <w:jc w:val="left"/>
      </w:pPr>
      <w:r>
        <w:rPr>
          <w:rFonts w:ascii="Courier New" w:hAnsi="Courier New"/>
          <w:color w:val="000000"/>
          <w:sz w:val="19"/>
        </w:rPr>
        <w:t>Log likelihood = -24.71887                        Pseudo R2 (Nag) =     0.3181</w:t>
      </w:r>
    </w:p>
    <w:p>
      <w:pPr>
        <w:spacing w:before="200" w:after="60" w:line="276" w:lineRule="auto"/>
        <w:jc w:val="left"/>
      </w:pPr>
      <w:r>
        <w:rPr>
          <w:rFonts w:ascii="Times New Roman" w:hAnsi="Times New Roman"/>
          <w:b/>
          <w:color w:val="000000"/>
          <w:sz w:val="22"/>
        </w:rPr>
        <w:t>Table A4.1: Logistic Regression Parameter Estimates (Log-Odds Coefficients)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560"/>
        <w:gridCol w:w="1560"/>
        <w:gridCol w:w="1560"/>
        <w:gridCol w:w="1560"/>
        <w:gridCol w:w="1560"/>
        <w:gridCol w:w="1560"/>
      </w:tblGrid>
      <w:tr>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Poverty Status</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Coef.</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Std. Err.</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z</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P&gt;|z|</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[95% Conf. Interval]</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Total farm size (ha)</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-0.4300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0.8149</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-0.53</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0.598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[-2.0272,  1.1672]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Access to credit (Yes = 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-2.5983</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1.2450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-2.09</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0.037*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[-5.0384, -0.1582]</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_cons (Constant)</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0.4331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1.6280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0.27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0.790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[-2.7577,  3.6239]</w:t>
            </w:r>
          </w:p>
        </w:tc>
      </w:tr>
    </w:tbl>
    <w:p>
      <w:pPr>
        <w:spacing w:before="40" w:after="200" w:line="276" w:lineRule="auto"/>
        <w:jc w:val="left"/>
      </w:pPr>
      <w:r>
        <w:rPr>
          <w:rFonts w:ascii="Times New Roman" w:hAnsi="Times New Roman"/>
          <w:i/>
          <w:color w:val="000000"/>
          <w:sz w:val="19"/>
        </w:rPr>
        <w:t>Source: Field Survey Data Analysis, 2026. * Statistically significant at p &lt; 0.05.</w:t>
      </w:r>
    </w:p>
    <w:p>
      <w:pPr>
        <w:spacing w:before="200" w:after="60" w:line="276" w:lineRule="auto"/>
        <w:jc w:val="left"/>
      </w:pPr>
      <w:r>
        <w:rPr>
          <w:rFonts w:ascii="Times New Roman" w:hAnsi="Times New Roman"/>
          <w:b/>
          <w:color w:val="000000"/>
          <w:sz w:val="22"/>
        </w:rPr>
        <w:t>Table A4.2: Logistic Regression Odds Ratio Estimates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560"/>
        <w:gridCol w:w="1560"/>
        <w:gridCol w:w="1560"/>
        <w:gridCol w:w="1560"/>
        <w:gridCol w:w="1560"/>
        <w:gridCol w:w="1560"/>
      </w:tblGrid>
      <w:tr>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Poverty Status</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Odds Ratio</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Std. Err.</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z</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P&gt;|z|</w:t>
            </w:r>
          </w:p>
        </w:tc>
        <w:tc>
          <w:tcPr>
            <w:tcW w:type="dxa" w:w="156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[95% Conf. Interval]</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Total farm size (ha)</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0.6505</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0.5301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-0.53</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0.598</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[0.1317,  3.2130]</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Access to credit (Yes = 1)</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0.0744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0.0926</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-2.09</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0.037*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[0.0065,  0.8537]</w:t>
            </w:r>
          </w:p>
        </w:tc>
      </w:tr>
      <w:tr>
        <w:tc>
          <w:tcPr>
            <w:tcW w:type="dxa" w:w="156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_cons (Constant)</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1.5420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2.5104</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0.27</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0.790</w:t>
            </w:r>
          </w:p>
        </w:tc>
        <w:tc>
          <w:tcPr>
            <w:tcW w:type="dxa" w:w="156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[0.0634, 37.4834]</w:t>
            </w:r>
          </w:p>
        </w:tc>
      </w:tr>
    </w:tbl>
    <w:p>
      <w:pPr>
        <w:spacing w:before="40" w:after="200" w:line="276" w:lineRule="auto"/>
        <w:jc w:val="left"/>
      </w:pPr>
      <w:r>
        <w:rPr>
          <w:rFonts w:ascii="Times New Roman" w:hAnsi="Times New Roman"/>
          <w:i/>
          <w:color w:val="000000"/>
          <w:sz w:val="19"/>
        </w:rPr>
        <w:t>Source: Field Survey Data Analysis, 2026. * Statistically significant at p &lt; 0.05.</w:t>
      </w:r>
    </w:p>
    <w:p>
      <w:pPr>
        <w:spacing w:line="276" w:lineRule="auto" w:before="280" w:after="80"/>
        <w:jc w:val="left"/>
      </w:pPr>
      <w:r>
        <w:rPr>
          <w:rFonts w:ascii="Times New Roman" w:hAnsi="Times New Roman"/>
          <w:b/>
          <w:color w:val="000000"/>
          <w:sz w:val="24"/>
        </w:rPr>
        <w:t>4.3 Firth Penalized Likelihood Logistic Regression Sensitivity Analysis</w:t>
      </w:r>
    </w:p>
    <w:p>
      <w:pPr>
        <w:spacing w:before="0" w:after="120" w:line="276" w:lineRule="auto"/>
        <w:jc w:val="both"/>
      </w:pPr>
      <w:r>
        <w:rPr>
          <w:rFonts w:ascii="Times New Roman" w:hAnsi="Times New Roman"/>
          <w:b w:val="0"/>
          <w:i w:val="0"/>
          <w:color w:val="000000"/>
          <w:sz w:val="22"/>
        </w:rPr>
        <w:t>To verify that the small-sample event rate (13 poor events) did not induce small-sample bias in maximum likelihood estimation, a Firth penalized likelihood logistic regression sensitivity analysis was conducted. The Firth penalized estimate for access to credit yielded OR = 0.110 (95% CI: 0.014–0.891, p = 0.039), confirming the robustness and statistical significance of the protective association between credit access and household non-poor status.</w:t>
      </w:r>
    </w:p>
    <w:p>
      <w:pPr>
        <w:spacing w:line="276" w:lineRule="auto" w:before="360" w:after="120"/>
        <w:jc w:val="center"/>
      </w:pPr>
      <w:r>
        <w:rPr>
          <w:rFonts w:ascii="Times New Roman" w:hAnsi="Times New Roman"/>
          <w:b/>
          <w:color w:val="000000"/>
          <w:sz w:val="28"/>
        </w:rPr>
        <w:t>APPENDIX 5: MODEL DIAGNOSTICS AND CLASSIFICATION PERFORMANCE</w:t>
      </w:r>
    </w:p>
    <w:p>
      <w:pPr>
        <w:spacing w:before="0" w:after="120" w:line="276" w:lineRule="auto"/>
        <w:jc w:val="both"/>
      </w:pPr>
      <w:r>
        <w:rPr>
          <w:rFonts w:ascii="Times New Roman" w:hAnsi="Times New Roman"/>
          <w:b w:val="0"/>
          <w:i w:val="0"/>
          <w:color w:val="000000"/>
          <w:sz w:val="22"/>
        </w:rPr>
        <w:t>Model goodness-of-fit and predictive discrimination were evaluated for the final parsimonious logistic regression model.</w:t>
      </w:r>
    </w:p>
    <w:p>
      <w:pPr>
        <w:spacing w:before="200" w:after="60" w:line="276" w:lineRule="auto"/>
        <w:jc w:val="left"/>
      </w:pPr>
      <w:r>
        <w:rPr>
          <w:rFonts w:ascii="Times New Roman" w:hAnsi="Times New Roman"/>
          <w:b/>
          <w:color w:val="000000"/>
          <w:sz w:val="22"/>
        </w:rPr>
        <w:t>Table A5.1: Model Diagnostics Summary</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3120"/>
        <w:gridCol w:w="3120"/>
        <w:gridCol w:w="3120"/>
      </w:tblGrid>
      <w:tr>
        <w:tc>
          <w:tcPr>
            <w:tcW w:type="dxa" w:w="312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Diagnostic Metric</w:t>
            </w:r>
          </w:p>
        </w:tc>
        <w:tc>
          <w:tcPr>
            <w:tcW w:type="dxa" w:w="312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Computed Value</w:t>
            </w:r>
          </w:p>
        </w:tc>
        <w:tc>
          <w:tcPr>
            <w:tcW w:type="dxa" w:w="312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Statistical Interpretation</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Likelihood Ratio Chi-Square (LR χ²)</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13.861 (df = 2)</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Model statistically significant over null (p = 0.000978)</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Nagelkerke Pseudo-R²</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0.3181</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Nagelkerke R² = 0.3181, indicating the model’s relative explanatory performance based on the Nagelkerke pseudo-R² measure.</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Cox &amp; Snell Pseudo-R²</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0.2063</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Generalized coefficient of determination</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Log-Likelihood (Fitted Model)</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-24.719</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Log-likelihood value at convergence</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Log-Likelihood (Null Intercept Model)</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-31.650</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Log-likelihood of intercept-only baseline model</w:t>
            </w:r>
          </w:p>
        </w:tc>
      </w:tr>
      <w:tr>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Akaike Information Criterion (AIC)</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55.438</w:t>
            </w:r>
          </w:p>
        </w:tc>
        <w:tc>
          <w:tcPr>
            <w:tcW w:type="dxa" w:w="312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Information criteria for model selection</w:t>
            </w:r>
          </w:p>
        </w:tc>
      </w:tr>
    </w:tbl>
    <w:p>
      <w:pPr>
        <w:spacing w:before="40" w:after="200" w:line="276" w:lineRule="auto"/>
        <w:jc w:val="left"/>
      </w:pPr>
      <w:r>
        <w:rPr>
          <w:rFonts w:ascii="Times New Roman" w:hAnsi="Times New Roman"/>
          <w:i/>
          <w:color w:val="000000"/>
          <w:sz w:val="19"/>
        </w:rPr>
        <w:t>Source: Field Survey Data Analysis, 2026.</w:t>
      </w:r>
    </w:p>
    <w:p>
      <w:pPr>
        <w:spacing w:before="200" w:after="60" w:line="276" w:lineRule="auto"/>
        <w:jc w:val="left"/>
      </w:pPr>
      <w:r>
        <w:rPr>
          <w:rFonts w:ascii="Times New Roman" w:hAnsi="Times New Roman"/>
          <w:b/>
          <w:color w:val="000000"/>
          <w:sz w:val="22"/>
        </w:rPr>
        <w:t>Table A5.2: Classification Matrix at Decision Cutoff Probability = 0.25</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0"/>
              </w:rPr>
              <w:t>Observed Status</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Predicted Non-Poor</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Predicted Poor</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0"/>
              </w:rPr>
              <w:t>Class Accuracy (%)</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Observed Non-Poor (n = 47)</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37 (True Negatives)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10 (False Positives)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Specificity = 78.72%</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Observed Poor (n = 13)</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5 (False Negatives)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8 (True Positives)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Sensitivity = 61.54%</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0"/>
              </w:rPr>
              <w:t>Total (N = 60)</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42</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18</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0"/>
              </w:rPr>
              <w:t>Overall Accuracy = 75.00%</w:t>
            </w:r>
          </w:p>
        </w:tc>
      </w:tr>
    </w:tbl>
    <w:p>
      <w:pPr>
        <w:spacing w:before="40" w:after="200" w:line="276" w:lineRule="auto"/>
        <w:jc w:val="left"/>
      </w:pPr>
      <w:r>
        <w:rPr>
          <w:rFonts w:ascii="Times New Roman" w:hAnsi="Times New Roman"/>
          <w:i/>
          <w:color w:val="000000"/>
          <w:sz w:val="19"/>
        </w:rPr>
        <w:t>Source: Field Survey Data Analysis, 2026. Balanced Accuracy = (Sensitivity + Specificity) / 2 = 70.13%. Decision threshold calibrated to sample base rate (~0.217).</w:t>
      </w:r>
    </w:p>
    <w:p>
      <w:pPr>
        <w:spacing w:line="276" w:lineRule="auto" w:before="360" w:after="120"/>
        <w:jc w:val="center"/>
      </w:pPr>
      <w:r>
        <w:rPr>
          <w:rFonts w:ascii="Times New Roman" w:hAnsi="Times New Roman"/>
          <w:b/>
          <w:color w:val="000000"/>
          <w:sz w:val="28"/>
        </w:rPr>
        <w:t>APPENDIX 6: STATISTICAL METHODOLOGY NOTES</w:t>
      </w:r>
    </w:p>
    <w:p>
      <w:pPr>
        <w:spacing w:line="276" w:lineRule="auto" w:before="280" w:after="80"/>
        <w:jc w:val="left"/>
      </w:pPr>
      <w:r>
        <w:rPr>
          <w:rFonts w:ascii="Times New Roman" w:hAnsi="Times New Roman"/>
          <w:b/>
          <w:color w:val="000000"/>
          <w:sz w:val="24"/>
        </w:rPr>
        <w:t>1. Poverty Line Construction</w:t>
      </w:r>
    </w:p>
    <w:p>
      <w:pPr>
        <w:spacing w:before="0" w:after="120" w:line="276" w:lineRule="auto"/>
        <w:jc w:val="both"/>
      </w:pPr>
      <w:r>
        <w:rPr>
          <w:rFonts w:ascii="Times New Roman" w:hAnsi="Times New Roman"/>
          <w:b w:val="0"/>
          <w:i w:val="0"/>
          <w:color w:val="000000"/>
          <w:sz w:val="22"/>
        </w:rPr>
        <w:t>Poverty status was determined following the relative poverty line methodology. Per-Capita Monthly Household Expenditure (PCHE) was computed as total reported monthly expenditure divided by household size. The relative poverty threshold (z) was set at exactly two-thirds (2/3) of the sample mean PCHE: z = (2/3) × ₦20,289.03 = ₦13,526.02 per person per month. Households with PCHE &lt; ₦13,526.02 were categorized as poor (n = 13, 21.67%), and those with PCHE ≥ ₦13,526.02 were categorized as non-poor (n = 47, 78.33%).</w:t>
      </w:r>
    </w:p>
    <w:p>
      <w:pPr>
        <w:spacing w:line="276" w:lineRule="auto" w:before="280" w:after="80"/>
        <w:jc w:val="left"/>
      </w:pPr>
      <w:r>
        <w:rPr>
          <w:rFonts w:ascii="Times New Roman" w:hAnsi="Times New Roman"/>
          <w:b/>
          <w:color w:val="000000"/>
          <w:sz w:val="24"/>
        </w:rPr>
        <w:t>2. FGT Index Estimation &amp; Standard Error Variance Formulation</w:t>
      </w:r>
    </w:p>
    <w:p>
      <w:pPr>
        <w:spacing w:before="0" w:after="120" w:line="276" w:lineRule="auto"/>
        <w:jc w:val="both"/>
      </w:pPr>
      <w:r>
        <w:rPr>
          <w:rFonts w:ascii="Times New Roman" w:hAnsi="Times New Roman"/>
          <w:b w:val="0"/>
          <w:i w:val="0"/>
          <w:color w:val="000000"/>
          <w:sz w:val="22"/>
        </w:rPr>
        <w:t>The Foster-Greer-Thorbecke indices P_α = (1/N) * Σ [(z - y_i)/z]^α * I(y_i &lt; z) were estimated for α = 0 (headcount), α = 1 (poverty gap), and α = 2 (squared poverty gap). Standard errors (STE) were calculated using the sample survey variance estimator of individual normalized poverty weights w_i = [(z - y_i)/z]^α * I(y_i &lt; z): STE(P_α) = s_w / sqrt(n), where s_w = sqrt[ Σ (w_i - P_α)^2 / (n - 1) ]. The 95% confidence intervals were constructed as [P_α - 1.96*STE, P_α + 1.96*STE], bounded below by 0.0000. This analytical formulation is conceptually and mathematically identical to the linearization sample variance estimator employed in Stata survey poverty routines.</w:t>
      </w:r>
    </w:p>
    <w:p>
      <w:pPr>
        <w:spacing w:line="276" w:lineRule="auto" w:before="280" w:after="80"/>
        <w:jc w:val="left"/>
      </w:pPr>
      <w:r>
        <w:rPr>
          <w:rFonts w:ascii="Times New Roman" w:hAnsi="Times New Roman"/>
          <w:b/>
          <w:color w:val="000000"/>
          <w:sz w:val="24"/>
        </w:rPr>
        <w:t>3. Mechanical Denominator Property of Household Size</w:t>
      </w:r>
    </w:p>
    <w:p>
      <w:pPr>
        <w:spacing w:before="0" w:after="120" w:line="276" w:lineRule="auto"/>
        <w:jc w:val="both"/>
      </w:pPr>
      <w:r>
        <w:rPr>
          <w:rFonts w:ascii="Times New Roman" w:hAnsi="Times New Roman"/>
          <w:b w:val="0"/>
          <w:i w:val="0"/>
          <w:color w:val="000000"/>
          <w:sz w:val="22"/>
        </w:rPr>
        <w:t>Because household size appears directly in the denominator of the PCHE welfare metric (PCHE = Expenditure / Household Size), larger households mathematically yield lower per-capita expenditure holding total spending constant. The observed statistical association between household size and poverty status must therefore be interpreted recognizing this arithmetic property alongside real dependency burdens.</w:t>
      </w:r>
    </w:p>
    <w:p>
      <w:pPr>
        <w:spacing w:line="276" w:lineRule="auto" w:before="280" w:after="80"/>
        <w:jc w:val="left"/>
      </w:pPr>
      <w:r>
        <w:rPr>
          <w:rFonts w:ascii="Times New Roman" w:hAnsi="Times New Roman"/>
          <w:b/>
          <w:color w:val="000000"/>
          <w:sz w:val="24"/>
        </w:rPr>
        <w:t>4. Events-Per-Variable (EPV) and Model Specification</w:t>
      </w:r>
    </w:p>
    <w:p>
      <w:pPr>
        <w:spacing w:before="0" w:after="120" w:line="276" w:lineRule="auto"/>
        <w:jc w:val="both"/>
      </w:pPr>
      <w:r>
        <w:rPr>
          <w:rFonts w:ascii="Times New Roman" w:hAnsi="Times New Roman"/>
          <w:b w:val="0"/>
          <w:i w:val="0"/>
          <w:color w:val="000000"/>
          <w:sz w:val="22"/>
        </w:rPr>
        <w:t>In logistic regression, small event counts relative to the number of parameters risk overfitting and severe bias. With 13 poor events in the sample, standard epidemiological and econometric guidelines restrict multivariable estimation to 1–2 key predictors. A parsimonious model retaining Total Farm Size (physical asset) and Access to Credit (institutional liquidity) was specified and verified via Firth penalized likelihood estimation.</w:t>
      </w:r>
    </w:p>
    <w:p>
      <w:pPr>
        <w:spacing w:line="276" w:lineRule="auto" w:before="280" w:after="80"/>
        <w:jc w:val="left"/>
      </w:pPr>
      <w:r>
        <w:rPr>
          <w:rFonts w:ascii="Times New Roman" w:hAnsi="Times New Roman"/>
          <w:b/>
          <w:color w:val="000000"/>
          <w:sz w:val="24"/>
        </w:rPr>
        <w:t>5. Cross-Sectional Associational Interpretation</w:t>
      </w:r>
    </w:p>
    <w:p>
      <w:pPr>
        <w:spacing w:before="0" w:after="120" w:line="276" w:lineRule="auto"/>
        <w:jc w:val="both"/>
      </w:pPr>
      <w:r>
        <w:rPr>
          <w:rFonts w:ascii="Times New Roman" w:hAnsi="Times New Roman"/>
          <w:b w:val="0"/>
          <w:i w:val="0"/>
          <w:color w:val="000000"/>
          <w:sz w:val="22"/>
        </w:rPr>
        <w:t>Because the survey utilized a cross-sectional observational design, all reported regression odds ratios and bivariate test statistics reflect empirical statistical associations rather than direct causal effects.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