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4E78"/>
          <w:sz w:val="32"/>
        </w:rPr>
        <w:t>4.4 Factors Associated with Poverty Status among Yam Farmers</w:t>
      </w:r>
    </w:p>
    <w:p>
      <w:pPr>
        <w:keepNext/>
        <w:spacing w:before="220" w:after="80"/>
      </w:pPr>
      <w:r>
        <w:rPr>
          <w:rFonts w:ascii="Calibri" w:hAnsi="Calibri"/>
          <w:b/>
          <w:color w:val="1F4E78"/>
          <w:sz w:val="26"/>
        </w:rPr>
        <w:t>4.4.1 Overview of Objective II and Explanatory Factors</w:t>
      </w:r>
    </w:p>
    <w:p>
      <w:pPr>
        <w:spacing w:after="120" w:line="276" w:lineRule="auto"/>
        <w:jc w:val="left"/>
      </w:pPr>
      <w:r>
        <w:t>Specific Objective II of this research project seeks to analyse factors influencing poverty status among yam farming households in Akpabuyo Local Government Area of Cross River State, explicitly considering farmer age, educational attainment, household size, access to agricultural credit, technology adoption, and cooperative membership. In accordance with the baseline poverty classification established in Section 4.3, the dependent variable is binary household poverty status determined using the two-thirds mean Per-Capita Monthly Household Expenditure (PCHE) threshold of ₦13,526.02. Of the N = 60 sampled yam farmers, exactly 13 households (21.67%) were classified as poor (PCHE &lt; ₦13,526.02) and 47 households (78.33%) were classified as non-poor (PCHE ≥ ₦13,526.02).</w:t>
      </w:r>
    </w:p>
    <w:p>
      <w:pPr>
        <w:spacing w:after="120" w:line="276" w:lineRule="auto"/>
        <w:jc w:val="left"/>
      </w:pPr>
      <w:r>
        <w:t>To provide comprehensive analytical coverage of Objective II while maintaining consistency with earlier descriptive sections, eleven explanatory indicators across three operational domains were evaluated: (1) Demographic and human capital characteristics (Age, Household size, and Educational level); (2) Land asset ownership (Total farm size and Area under yam cultivation); and (3) Institutional access, technology adoption, and social capital (Access to credit, Extension contact, Improved yam varieties, Fertilizer/manure application, Modern tools/technologies, and Cooperative membership). In the survey instrument, technology adoption is operationalised across three individual indicators (improved varieties, inorganic fertilizer/organic manure, and modern farm tools/technologies) to reflect the multi-faceted nature of smallholder agricultural technology adoption without imposing an unvalidated composite index.</w:t>
      </w:r>
    </w:p>
    <w:p>
      <w:pPr>
        <w:keepNext/>
        <w:spacing w:before="220" w:after="80"/>
      </w:pPr>
      <w:r>
        <w:rPr>
          <w:rFonts w:ascii="Calibri" w:hAnsi="Calibri"/>
          <w:b/>
          <w:color w:val="1F4E78"/>
          <w:sz w:val="26"/>
        </w:rPr>
        <w:t>4.4.2 Descriptive and Bivariate Comparison by Poverty Status</w:t>
      </w:r>
    </w:p>
    <w:p>
      <w:pPr>
        <w:spacing w:after="120" w:line="276" w:lineRule="auto"/>
        <w:jc w:val="left"/>
      </w:pPr>
      <w:r>
        <w:t>Table 4.9 presents the descriptive comparison and single-primary bivariate hypothesis tests for all eleven factors across poor households (n = 13), non-poor households (n = 47), and the overall sample (N = 60). Continuous variables with non-normal or skewed distributions were evaluated using the non-parametric Mann–Whitney U test. Categorical variables were assessed using Pearson's chi-square test where expected cell frequencies were 5 or greater, and Fisher's exact test where expected cell frequencies fell below 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8"/>
          </w:tcPr>
          <w:p>
            <w:pPr>
              <w:jc w:val="center"/>
            </w:pPr>
            <w:r>
              <w:rPr>
                <w:rFonts w:ascii="Calibri" w:hAnsi="Calibri"/>
                <w:b/>
                <w:color w:val="FFFFFF"/>
                <w:sz w:val="20"/>
              </w:rPr>
              <w:t>Factor / Variable</w:t>
            </w:r>
          </w:p>
        </w:tc>
        <w:tc>
          <w:tcPr>
            <w:tcW w:type="dxa" w:w="1560"/>
            <w:shd w:fill="1F4E78"/>
          </w:tcPr>
          <w:p>
            <w:pPr>
              <w:jc w:val="center"/>
            </w:pPr>
            <w:r>
              <w:rPr>
                <w:rFonts w:ascii="Calibri" w:hAnsi="Calibri"/>
                <w:b/>
                <w:color w:val="FFFFFF"/>
                <w:sz w:val="20"/>
              </w:rPr>
              <w:t>Poor (n = 13)</w:t>
            </w:r>
          </w:p>
        </w:tc>
        <w:tc>
          <w:tcPr>
            <w:tcW w:type="dxa" w:w="1560"/>
            <w:shd w:fill="1F4E78"/>
          </w:tcPr>
          <w:p>
            <w:pPr>
              <w:jc w:val="center"/>
            </w:pPr>
            <w:r>
              <w:rPr>
                <w:rFonts w:ascii="Calibri" w:hAnsi="Calibri"/>
                <w:b/>
                <w:color w:val="FFFFFF"/>
                <w:sz w:val="20"/>
              </w:rPr>
              <w:t>Non-poor (n = 47)</w:t>
            </w:r>
          </w:p>
        </w:tc>
        <w:tc>
          <w:tcPr>
            <w:tcW w:type="dxa" w:w="1560"/>
            <w:shd w:fill="1F4E78"/>
          </w:tcPr>
          <w:p>
            <w:pPr>
              <w:jc w:val="center"/>
            </w:pPr>
            <w:r>
              <w:rPr>
                <w:rFonts w:ascii="Calibri" w:hAnsi="Calibri"/>
                <w:b/>
                <w:color w:val="FFFFFF"/>
                <w:sz w:val="20"/>
              </w:rPr>
              <w:t>Overall (N = 60)</w:t>
            </w:r>
          </w:p>
        </w:tc>
        <w:tc>
          <w:tcPr>
            <w:tcW w:type="dxa" w:w="1560"/>
            <w:shd w:fill="1F4E78"/>
          </w:tcPr>
          <w:p>
            <w:pPr>
              <w:jc w:val="center"/>
            </w:pPr>
            <w:r>
              <w:rPr>
                <w:rFonts w:ascii="Calibri" w:hAnsi="Calibri"/>
                <w:b/>
                <w:color w:val="FFFFFF"/>
                <w:sz w:val="20"/>
              </w:rPr>
              <w:t>Statistical Test</w:t>
            </w:r>
          </w:p>
        </w:tc>
        <w:tc>
          <w:tcPr>
            <w:tcW w:type="dxa" w:w="1560"/>
            <w:shd w:fill="1F4E78"/>
          </w:tcPr>
          <w:p>
            <w:pPr>
              <w:jc w:val="center"/>
            </w:pPr>
            <w:r>
              <w:rPr>
                <w:rFonts w:ascii="Calibri" w:hAnsi="Calibri"/>
                <w:b/>
                <w:color w:val="FFFFFF"/>
                <w:sz w:val="20"/>
              </w:rPr>
              <w:t>p-value</w:t>
            </w:r>
          </w:p>
        </w:tc>
      </w:tr>
      <w:tr>
        <w:tc>
          <w:tcPr>
            <w:tcW w:type="dxa" w:w="1560"/>
            <w:shd w:fill="D9E1F2"/>
          </w:tcPr>
          <w:p>
            <w:pPr>
              <w:jc w:val="left"/>
            </w:pPr>
            <w:r>
              <w:rPr>
                <w:rFonts w:ascii="Calibri" w:hAnsi="Calibri"/>
                <w:b/>
                <w:sz w:val="19"/>
              </w:rPr>
              <w:t>A. Demographic &amp; Human Capital Factors</w:t>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r>
      <w:tr>
        <w:tc>
          <w:tcPr>
            <w:tcW w:type="dxa" w:w="1560"/>
          </w:tcPr>
          <w:p>
            <w:pPr>
              <w:jc w:val="left"/>
            </w:pPr>
            <w:r>
              <w:rPr>
                <w:rFonts w:ascii="Calibri" w:hAnsi="Calibri"/>
                <w:b w:val="0"/>
                <w:sz w:val="19"/>
              </w:rPr>
              <w:t>1. Age of farmer (years)</w:t>
            </w:r>
          </w:p>
        </w:tc>
        <w:tc>
          <w:tcPr>
            <w:tcW w:type="dxa" w:w="1560"/>
          </w:tcPr>
          <w:p>
            <w:pPr>
              <w:jc w:val="center"/>
            </w:pPr>
            <w:r>
              <w:rPr>
                <w:rFonts w:ascii="Calibri" w:hAnsi="Calibri"/>
                <w:b w:val="0"/>
                <w:sz w:val="19"/>
              </w:rPr>
              <w:t>51.31 ± 8.99</w:t>
            </w:r>
          </w:p>
        </w:tc>
        <w:tc>
          <w:tcPr>
            <w:tcW w:type="dxa" w:w="1560"/>
          </w:tcPr>
          <w:p>
            <w:pPr>
              <w:jc w:val="center"/>
            </w:pPr>
            <w:r>
              <w:rPr>
                <w:rFonts w:ascii="Calibri" w:hAnsi="Calibri"/>
                <w:b w:val="0"/>
                <w:sz w:val="19"/>
              </w:rPr>
              <w:t>44.57 ± 8.04</w:t>
            </w:r>
          </w:p>
        </w:tc>
        <w:tc>
          <w:tcPr>
            <w:tcW w:type="dxa" w:w="1560"/>
          </w:tcPr>
          <w:p>
            <w:pPr>
              <w:jc w:val="center"/>
            </w:pPr>
            <w:r>
              <w:rPr>
                <w:rFonts w:ascii="Calibri" w:hAnsi="Calibri"/>
                <w:b w:val="0"/>
                <w:sz w:val="19"/>
              </w:rPr>
              <w:t>46.03 ± 8.64</w:t>
            </w:r>
          </w:p>
        </w:tc>
        <w:tc>
          <w:tcPr>
            <w:tcW w:type="dxa" w:w="1560"/>
          </w:tcPr>
          <w:p>
            <w:pPr>
              <w:jc w:val="center"/>
            </w:pPr>
            <w:r>
              <w:rPr>
                <w:rFonts w:ascii="Calibri" w:hAnsi="Calibri"/>
                <w:b w:val="0"/>
                <w:sz w:val="19"/>
              </w:rPr>
              <w:t>Mann–Whitney U = 432.00</w:t>
            </w:r>
          </w:p>
        </w:tc>
        <w:tc>
          <w:tcPr>
            <w:tcW w:type="dxa" w:w="1560"/>
          </w:tcPr>
          <w:p>
            <w:pPr>
              <w:jc w:val="center"/>
            </w:pPr>
            <w:r>
              <w:rPr>
                <w:rFonts w:ascii="Calibri" w:hAnsi="Calibri"/>
                <w:b w:val="0"/>
                <w:sz w:val="19"/>
              </w:rPr>
              <w:t>0.024*</w:t>
            </w:r>
          </w:p>
        </w:tc>
      </w:tr>
      <w:tr>
        <w:tc>
          <w:tcPr>
            <w:tcW w:type="dxa" w:w="1560"/>
          </w:tcPr>
          <w:p>
            <w:pPr>
              <w:jc w:val="left"/>
            </w:pPr>
            <w:r>
              <w:rPr>
                <w:rFonts w:ascii="Calibri" w:hAnsi="Calibri"/>
                <w:b w:val="0"/>
                <w:sz w:val="19"/>
              </w:rPr>
              <w:t>2. Household size (persons)</w:t>
            </w:r>
          </w:p>
        </w:tc>
        <w:tc>
          <w:tcPr>
            <w:tcW w:type="dxa" w:w="1560"/>
          </w:tcPr>
          <w:p>
            <w:pPr>
              <w:jc w:val="center"/>
            </w:pPr>
            <w:r>
              <w:rPr>
                <w:rFonts w:ascii="Calibri" w:hAnsi="Calibri"/>
                <w:b w:val="0"/>
                <w:sz w:val="19"/>
              </w:rPr>
              <w:t>8.31 ± 1.70</w:t>
            </w:r>
          </w:p>
        </w:tc>
        <w:tc>
          <w:tcPr>
            <w:tcW w:type="dxa" w:w="1560"/>
          </w:tcPr>
          <w:p>
            <w:pPr>
              <w:jc w:val="center"/>
            </w:pPr>
            <w:r>
              <w:rPr>
                <w:rFonts w:ascii="Calibri" w:hAnsi="Calibri"/>
                <w:b w:val="0"/>
                <w:sz w:val="19"/>
              </w:rPr>
              <w:t>5.66 ± 1.43</w:t>
            </w:r>
          </w:p>
        </w:tc>
        <w:tc>
          <w:tcPr>
            <w:tcW w:type="dxa" w:w="1560"/>
          </w:tcPr>
          <w:p>
            <w:pPr>
              <w:jc w:val="center"/>
            </w:pPr>
            <w:r>
              <w:rPr>
                <w:rFonts w:ascii="Calibri" w:hAnsi="Calibri"/>
                <w:b w:val="0"/>
                <w:sz w:val="19"/>
              </w:rPr>
              <w:t>6.23 ± 1.84</w:t>
            </w:r>
          </w:p>
        </w:tc>
        <w:tc>
          <w:tcPr>
            <w:tcW w:type="dxa" w:w="1560"/>
          </w:tcPr>
          <w:p>
            <w:pPr>
              <w:jc w:val="center"/>
            </w:pPr>
            <w:r>
              <w:rPr>
                <w:rFonts w:ascii="Calibri" w:hAnsi="Calibri"/>
                <w:b w:val="0"/>
                <w:sz w:val="19"/>
              </w:rPr>
              <w:t>Mann–Whitney U = 536.00</w:t>
            </w:r>
          </w:p>
        </w:tc>
        <w:tc>
          <w:tcPr>
            <w:tcW w:type="dxa" w:w="1560"/>
          </w:tcPr>
          <w:p>
            <w:pPr>
              <w:jc w:val="center"/>
            </w:pPr>
            <w:r>
              <w:rPr>
                <w:rFonts w:ascii="Calibri" w:hAnsi="Calibri"/>
                <w:b w:val="0"/>
                <w:sz w:val="19"/>
              </w:rPr>
              <w:t>&lt; 0.001*</w:t>
            </w:r>
          </w:p>
        </w:tc>
      </w:tr>
      <w:tr>
        <w:tc>
          <w:tcPr>
            <w:tcW w:type="dxa" w:w="1560"/>
          </w:tcPr>
          <w:p>
            <w:pPr>
              <w:jc w:val="left"/>
            </w:pPr>
            <w:r>
              <w:rPr>
                <w:rFonts w:ascii="Calibri" w:hAnsi="Calibri"/>
                <w:b w:val="0"/>
                <w:sz w:val="19"/>
              </w:rPr>
              <w:t>3. Educational attainment</w:t>
            </w:r>
          </w:p>
        </w:tc>
        <w:tc>
          <w:tcPr>
            <w:tcW w:type="dxa" w:w="1560"/>
          </w:tcPr>
          <w:p>
            <w:pPr>
              <w:jc w:val="center"/>
            </w:pPr>
            <w:r>
              <w:rPr>
                <w:rFonts w:ascii="Calibri" w:hAnsi="Calibri"/>
                <w:b w:val="0"/>
                <w:sz w:val="19"/>
              </w:rPr>
            </w:r>
          </w:p>
        </w:tc>
        <w:tc>
          <w:tcPr>
            <w:tcW w:type="dxa" w:w="1560"/>
          </w:tcPr>
          <w:p>
            <w:pPr>
              <w:jc w:val="center"/>
            </w:pPr>
            <w:r>
              <w:rPr>
                <w:rFonts w:ascii="Calibri" w:hAnsi="Calibri"/>
                <w:b w:val="0"/>
                <w:sz w:val="19"/>
              </w:rPr>
            </w:r>
          </w:p>
        </w:tc>
        <w:tc>
          <w:tcPr>
            <w:tcW w:type="dxa" w:w="1560"/>
          </w:tcPr>
          <w:p>
            <w:pPr>
              <w:jc w:val="center"/>
            </w:pPr>
            <w:r>
              <w:rPr>
                <w:rFonts w:ascii="Calibri" w:hAnsi="Calibri"/>
                <w:b w:val="0"/>
                <w:sz w:val="19"/>
              </w:rPr>
            </w:r>
          </w:p>
        </w:tc>
        <w:tc>
          <w:tcPr>
            <w:tcW w:type="dxa" w:w="1560"/>
          </w:tcPr>
          <w:p>
            <w:pPr>
              <w:jc w:val="center"/>
            </w:pPr>
            <w:r>
              <w:rPr>
                <w:rFonts w:ascii="Calibri" w:hAnsi="Calibri"/>
                <w:b w:val="0"/>
                <w:sz w:val="19"/>
              </w:rPr>
              <w:t>Pearson χ² = 2.673 (df=2)</w:t>
            </w:r>
          </w:p>
        </w:tc>
        <w:tc>
          <w:tcPr>
            <w:tcW w:type="dxa" w:w="1560"/>
          </w:tcPr>
          <w:p>
            <w:pPr>
              <w:jc w:val="center"/>
            </w:pPr>
            <w:r>
              <w:rPr>
                <w:rFonts w:ascii="Calibri" w:hAnsi="Calibri"/>
                <w:b w:val="0"/>
                <w:sz w:val="19"/>
              </w:rPr>
              <w:t>0.263</w:t>
            </w:r>
          </w:p>
        </w:tc>
      </w:tr>
      <w:tr>
        <w:tc>
          <w:tcPr>
            <w:tcW w:type="dxa" w:w="1560"/>
          </w:tcPr>
          <w:p>
            <w:pPr>
              <w:jc w:val="left"/>
            </w:pPr>
            <w:r>
              <w:rPr>
                <w:rFonts w:ascii="Calibri" w:hAnsi="Calibri"/>
                <w:b w:val="0"/>
                <w:sz w:val="19"/>
              </w:rPr>
              <w:t xml:space="preserve">   - Primary education (6 yrs)</w:t>
            </w:r>
          </w:p>
        </w:tc>
        <w:tc>
          <w:tcPr>
            <w:tcW w:type="dxa" w:w="1560"/>
          </w:tcPr>
          <w:p>
            <w:pPr>
              <w:jc w:val="center"/>
            </w:pPr>
            <w:r>
              <w:rPr>
                <w:rFonts w:ascii="Calibri" w:hAnsi="Calibri"/>
                <w:b w:val="0"/>
                <w:sz w:val="19"/>
              </w:rPr>
              <w:t>5 (38.5%)</w:t>
            </w:r>
          </w:p>
        </w:tc>
        <w:tc>
          <w:tcPr>
            <w:tcW w:type="dxa" w:w="1560"/>
          </w:tcPr>
          <w:p>
            <w:pPr>
              <w:jc w:val="center"/>
            </w:pPr>
            <w:r>
              <w:rPr>
                <w:rFonts w:ascii="Calibri" w:hAnsi="Calibri"/>
                <w:b w:val="0"/>
                <w:sz w:val="19"/>
              </w:rPr>
              <w:t>13 (27.7%)</w:t>
            </w:r>
          </w:p>
        </w:tc>
        <w:tc>
          <w:tcPr>
            <w:tcW w:type="dxa" w:w="1560"/>
          </w:tcPr>
          <w:p>
            <w:pPr>
              <w:jc w:val="center"/>
            </w:pPr>
            <w:r>
              <w:rPr>
                <w:rFonts w:ascii="Calibri" w:hAnsi="Calibri"/>
                <w:b w:val="0"/>
                <w:sz w:val="19"/>
              </w:rPr>
              <w:t>18 (30.0%)</w:t>
            </w:r>
          </w:p>
        </w:tc>
        <w:tc>
          <w:tcPr>
            <w:tcW w:type="dxa" w:w="1560"/>
          </w:tcPr>
          <w:p>
            <w:pPr>
              <w:jc w:val="center"/>
            </w:pPr>
            <w:r>
              <w:rPr>
                <w:rFonts w:ascii="Calibri" w:hAnsi="Calibri"/>
                <w:b w:val="0"/>
                <w:sz w:val="19"/>
              </w:rPr>
              <w:t>—</w:t>
            </w:r>
          </w:p>
        </w:tc>
        <w:tc>
          <w:tcPr>
            <w:tcW w:type="dxa" w:w="1560"/>
          </w:tcPr>
          <w:p>
            <w:pPr>
              <w:jc w:val="center"/>
            </w:pPr>
            <w:r>
              <w:rPr>
                <w:rFonts w:ascii="Calibri" w:hAnsi="Calibri"/>
                <w:b w:val="0"/>
                <w:sz w:val="19"/>
              </w:rPr>
              <w:t>—</w:t>
            </w:r>
          </w:p>
        </w:tc>
      </w:tr>
      <w:tr>
        <w:tc>
          <w:tcPr>
            <w:tcW w:type="dxa" w:w="1560"/>
          </w:tcPr>
          <w:p>
            <w:pPr>
              <w:jc w:val="left"/>
            </w:pPr>
            <w:r>
              <w:rPr>
                <w:rFonts w:ascii="Calibri" w:hAnsi="Calibri"/>
                <w:b w:val="0"/>
                <w:sz w:val="19"/>
              </w:rPr>
              <w:t xml:space="preserve">   - Secondary education (12 yrs)</w:t>
            </w:r>
          </w:p>
        </w:tc>
        <w:tc>
          <w:tcPr>
            <w:tcW w:type="dxa" w:w="1560"/>
          </w:tcPr>
          <w:p>
            <w:pPr>
              <w:jc w:val="center"/>
            </w:pPr>
            <w:r>
              <w:rPr>
                <w:rFonts w:ascii="Calibri" w:hAnsi="Calibri"/>
                <w:b w:val="0"/>
                <w:sz w:val="19"/>
              </w:rPr>
              <w:t>7 (53.8%)</w:t>
            </w:r>
          </w:p>
        </w:tc>
        <w:tc>
          <w:tcPr>
            <w:tcW w:type="dxa" w:w="1560"/>
          </w:tcPr>
          <w:p>
            <w:pPr>
              <w:jc w:val="center"/>
            </w:pPr>
            <w:r>
              <w:rPr>
                <w:rFonts w:ascii="Calibri" w:hAnsi="Calibri"/>
                <w:b w:val="0"/>
                <w:sz w:val="19"/>
              </w:rPr>
              <w:t>20 (42.6%)</w:t>
            </w:r>
          </w:p>
        </w:tc>
        <w:tc>
          <w:tcPr>
            <w:tcW w:type="dxa" w:w="1560"/>
          </w:tcPr>
          <w:p>
            <w:pPr>
              <w:jc w:val="center"/>
            </w:pPr>
            <w:r>
              <w:rPr>
                <w:rFonts w:ascii="Calibri" w:hAnsi="Calibri"/>
                <w:b w:val="0"/>
                <w:sz w:val="19"/>
              </w:rPr>
              <w:t>27 (45.0%)</w:t>
            </w:r>
          </w:p>
        </w:tc>
        <w:tc>
          <w:tcPr>
            <w:tcW w:type="dxa" w:w="1560"/>
          </w:tcPr>
          <w:p>
            <w:pPr>
              <w:jc w:val="center"/>
            </w:pPr>
            <w:r>
              <w:rPr>
                <w:rFonts w:ascii="Calibri" w:hAnsi="Calibri"/>
                <w:b w:val="0"/>
                <w:sz w:val="19"/>
              </w:rPr>
              <w:t>—</w:t>
            </w:r>
          </w:p>
        </w:tc>
        <w:tc>
          <w:tcPr>
            <w:tcW w:type="dxa" w:w="1560"/>
          </w:tcPr>
          <w:p>
            <w:pPr>
              <w:jc w:val="center"/>
            </w:pPr>
            <w:r>
              <w:rPr>
                <w:rFonts w:ascii="Calibri" w:hAnsi="Calibri"/>
                <w:b w:val="0"/>
                <w:sz w:val="19"/>
              </w:rPr>
              <w:t>—</w:t>
            </w:r>
          </w:p>
        </w:tc>
      </w:tr>
      <w:tr>
        <w:tc>
          <w:tcPr>
            <w:tcW w:type="dxa" w:w="1560"/>
          </w:tcPr>
          <w:p>
            <w:pPr>
              <w:jc w:val="left"/>
            </w:pPr>
            <w:r>
              <w:rPr>
                <w:rFonts w:ascii="Calibri" w:hAnsi="Calibri"/>
                <w:b w:val="0"/>
                <w:sz w:val="19"/>
              </w:rPr>
              <w:t xml:space="preserve">   - Tertiary education (16 yrs)</w:t>
            </w:r>
          </w:p>
        </w:tc>
        <w:tc>
          <w:tcPr>
            <w:tcW w:type="dxa" w:w="1560"/>
          </w:tcPr>
          <w:p>
            <w:pPr>
              <w:jc w:val="center"/>
            </w:pPr>
            <w:r>
              <w:rPr>
                <w:rFonts w:ascii="Calibri" w:hAnsi="Calibri"/>
                <w:b w:val="0"/>
                <w:sz w:val="19"/>
              </w:rPr>
              <w:t>1 (7.7%)</w:t>
            </w:r>
          </w:p>
        </w:tc>
        <w:tc>
          <w:tcPr>
            <w:tcW w:type="dxa" w:w="1560"/>
          </w:tcPr>
          <w:p>
            <w:pPr>
              <w:jc w:val="center"/>
            </w:pPr>
            <w:r>
              <w:rPr>
                <w:rFonts w:ascii="Calibri" w:hAnsi="Calibri"/>
                <w:b w:val="0"/>
                <w:sz w:val="19"/>
              </w:rPr>
              <w:t>14 (29.8%)</w:t>
            </w:r>
          </w:p>
        </w:tc>
        <w:tc>
          <w:tcPr>
            <w:tcW w:type="dxa" w:w="1560"/>
          </w:tcPr>
          <w:p>
            <w:pPr>
              <w:jc w:val="center"/>
            </w:pPr>
            <w:r>
              <w:rPr>
                <w:rFonts w:ascii="Calibri" w:hAnsi="Calibri"/>
                <w:b w:val="0"/>
                <w:sz w:val="19"/>
              </w:rPr>
              <w:t>15 (25.0%)</w:t>
            </w:r>
          </w:p>
        </w:tc>
        <w:tc>
          <w:tcPr>
            <w:tcW w:type="dxa" w:w="1560"/>
          </w:tcPr>
          <w:p>
            <w:pPr>
              <w:jc w:val="center"/>
            </w:pPr>
            <w:r>
              <w:rPr>
                <w:rFonts w:ascii="Calibri" w:hAnsi="Calibri"/>
                <w:b w:val="0"/>
                <w:sz w:val="19"/>
              </w:rPr>
              <w:t>—</w:t>
            </w:r>
          </w:p>
        </w:tc>
        <w:tc>
          <w:tcPr>
            <w:tcW w:type="dxa" w:w="1560"/>
          </w:tcPr>
          <w:p>
            <w:pPr>
              <w:jc w:val="center"/>
            </w:pPr>
            <w:r>
              <w:rPr>
                <w:rFonts w:ascii="Calibri" w:hAnsi="Calibri"/>
                <w:b w:val="0"/>
                <w:sz w:val="19"/>
              </w:rPr>
              <w:t>—</w:t>
            </w:r>
          </w:p>
        </w:tc>
      </w:tr>
      <w:tr>
        <w:tc>
          <w:tcPr>
            <w:tcW w:type="dxa" w:w="1560"/>
            <w:shd w:fill="D9E1F2"/>
          </w:tcPr>
          <w:p>
            <w:pPr>
              <w:jc w:val="left"/>
            </w:pPr>
            <w:r>
              <w:rPr>
                <w:rFonts w:ascii="Calibri" w:hAnsi="Calibri"/>
                <w:b/>
                <w:sz w:val="19"/>
              </w:rPr>
              <w:t>B. Land Holding &amp; Farm Size</w:t>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r>
      <w:tr>
        <w:tc>
          <w:tcPr>
            <w:tcW w:type="dxa" w:w="1560"/>
          </w:tcPr>
          <w:p>
            <w:pPr>
              <w:jc w:val="left"/>
            </w:pPr>
            <w:r>
              <w:rPr>
                <w:rFonts w:ascii="Calibri" w:hAnsi="Calibri"/>
                <w:b w:val="0"/>
                <w:sz w:val="19"/>
              </w:rPr>
              <w:t>4. Total farm size (hectares)</w:t>
            </w:r>
          </w:p>
        </w:tc>
        <w:tc>
          <w:tcPr>
            <w:tcW w:type="dxa" w:w="1560"/>
          </w:tcPr>
          <w:p>
            <w:pPr>
              <w:jc w:val="center"/>
            </w:pPr>
            <w:r>
              <w:rPr>
                <w:rFonts w:ascii="Calibri" w:hAnsi="Calibri"/>
                <w:b w:val="0"/>
                <w:sz w:val="19"/>
              </w:rPr>
              <w:t>1.98 ± 0.48</w:t>
            </w:r>
          </w:p>
        </w:tc>
        <w:tc>
          <w:tcPr>
            <w:tcW w:type="dxa" w:w="1560"/>
          </w:tcPr>
          <w:p>
            <w:pPr>
              <w:jc w:val="center"/>
            </w:pPr>
            <w:r>
              <w:rPr>
                <w:rFonts w:ascii="Calibri" w:hAnsi="Calibri"/>
                <w:b w:val="0"/>
                <w:sz w:val="19"/>
              </w:rPr>
              <w:t>2.56 ± 0.82</w:t>
            </w:r>
          </w:p>
        </w:tc>
        <w:tc>
          <w:tcPr>
            <w:tcW w:type="dxa" w:w="1560"/>
          </w:tcPr>
          <w:p>
            <w:pPr>
              <w:jc w:val="center"/>
            </w:pPr>
            <w:r>
              <w:rPr>
                <w:rFonts w:ascii="Calibri" w:hAnsi="Calibri"/>
                <w:b w:val="0"/>
                <w:sz w:val="19"/>
              </w:rPr>
              <w:t>2.43 ± 0.79</w:t>
            </w:r>
          </w:p>
        </w:tc>
        <w:tc>
          <w:tcPr>
            <w:tcW w:type="dxa" w:w="1560"/>
          </w:tcPr>
          <w:p>
            <w:pPr>
              <w:jc w:val="center"/>
            </w:pPr>
            <w:r>
              <w:rPr>
                <w:rFonts w:ascii="Calibri" w:hAnsi="Calibri"/>
                <w:b w:val="0"/>
                <w:sz w:val="19"/>
              </w:rPr>
              <w:t>Mann–Whitney U = 170.50</w:t>
            </w:r>
          </w:p>
        </w:tc>
        <w:tc>
          <w:tcPr>
            <w:tcW w:type="dxa" w:w="1560"/>
          </w:tcPr>
          <w:p>
            <w:pPr>
              <w:jc w:val="center"/>
            </w:pPr>
            <w:r>
              <w:rPr>
                <w:rFonts w:ascii="Calibri" w:hAnsi="Calibri"/>
                <w:b w:val="0"/>
                <w:sz w:val="19"/>
              </w:rPr>
              <w:t>0.016*</w:t>
            </w:r>
          </w:p>
        </w:tc>
      </w:tr>
      <w:tr>
        <w:tc>
          <w:tcPr>
            <w:tcW w:type="dxa" w:w="1560"/>
          </w:tcPr>
          <w:p>
            <w:pPr>
              <w:jc w:val="left"/>
            </w:pPr>
            <w:r>
              <w:rPr>
                <w:rFonts w:ascii="Calibri" w:hAnsi="Calibri"/>
                <w:b w:val="0"/>
                <w:sz w:val="19"/>
              </w:rPr>
              <w:t>5. Area under yam cultivation (hectares)</w:t>
            </w:r>
          </w:p>
        </w:tc>
        <w:tc>
          <w:tcPr>
            <w:tcW w:type="dxa" w:w="1560"/>
          </w:tcPr>
          <w:p>
            <w:pPr>
              <w:jc w:val="center"/>
            </w:pPr>
            <w:r>
              <w:rPr>
                <w:rFonts w:ascii="Calibri" w:hAnsi="Calibri"/>
                <w:b w:val="0"/>
                <w:sz w:val="19"/>
              </w:rPr>
              <w:t>1.43 ± 0.37</w:t>
            </w:r>
          </w:p>
        </w:tc>
        <w:tc>
          <w:tcPr>
            <w:tcW w:type="dxa" w:w="1560"/>
          </w:tcPr>
          <w:p>
            <w:pPr>
              <w:jc w:val="center"/>
            </w:pPr>
            <w:r>
              <w:rPr>
                <w:rFonts w:ascii="Calibri" w:hAnsi="Calibri"/>
                <w:b w:val="0"/>
                <w:sz w:val="19"/>
              </w:rPr>
              <w:t>1.73 ± 0.56</w:t>
            </w:r>
          </w:p>
        </w:tc>
        <w:tc>
          <w:tcPr>
            <w:tcW w:type="dxa" w:w="1560"/>
          </w:tcPr>
          <w:p>
            <w:pPr>
              <w:jc w:val="center"/>
            </w:pPr>
            <w:r>
              <w:rPr>
                <w:rFonts w:ascii="Calibri" w:hAnsi="Calibri"/>
                <w:b w:val="0"/>
                <w:sz w:val="19"/>
              </w:rPr>
              <w:t>1.67 ± 0.53</w:t>
            </w:r>
          </w:p>
        </w:tc>
        <w:tc>
          <w:tcPr>
            <w:tcW w:type="dxa" w:w="1560"/>
          </w:tcPr>
          <w:p>
            <w:pPr>
              <w:jc w:val="center"/>
            </w:pPr>
            <w:r>
              <w:rPr>
                <w:rFonts w:ascii="Calibri" w:hAnsi="Calibri"/>
                <w:b w:val="0"/>
                <w:sz w:val="19"/>
              </w:rPr>
              <w:t>Mann–Whitney U = 205.00</w:t>
            </w:r>
          </w:p>
        </w:tc>
        <w:tc>
          <w:tcPr>
            <w:tcW w:type="dxa" w:w="1560"/>
          </w:tcPr>
          <w:p>
            <w:pPr>
              <w:jc w:val="center"/>
            </w:pPr>
            <w:r>
              <w:rPr>
                <w:rFonts w:ascii="Calibri" w:hAnsi="Calibri"/>
                <w:b w:val="0"/>
                <w:sz w:val="19"/>
              </w:rPr>
              <w:t>0.071</w:t>
            </w:r>
          </w:p>
        </w:tc>
      </w:tr>
      <w:tr>
        <w:tc>
          <w:tcPr>
            <w:tcW w:type="dxa" w:w="1560"/>
            <w:shd w:fill="D9E1F2"/>
          </w:tcPr>
          <w:p>
            <w:pPr>
              <w:jc w:val="left"/>
            </w:pPr>
            <w:r>
              <w:rPr>
                <w:rFonts w:ascii="Calibri" w:hAnsi="Calibri"/>
                <w:b/>
                <w:sz w:val="19"/>
              </w:rPr>
              <w:t>C. Institutional Access, Technology &amp; Social Capital</w:t>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r>
      <w:tr>
        <w:tc>
          <w:tcPr>
            <w:tcW w:type="dxa" w:w="1560"/>
          </w:tcPr>
          <w:p>
            <w:pPr>
              <w:jc w:val="left"/>
            </w:pPr>
            <w:r>
              <w:rPr>
                <w:rFonts w:ascii="Calibri" w:hAnsi="Calibri"/>
                <w:b w:val="0"/>
                <w:sz w:val="19"/>
              </w:rPr>
              <w:t>6. Access to credit (Yes = 1)</w:t>
            </w:r>
          </w:p>
        </w:tc>
        <w:tc>
          <w:tcPr>
            <w:tcW w:type="dxa" w:w="1560"/>
          </w:tcPr>
          <w:p>
            <w:pPr>
              <w:jc w:val="center"/>
            </w:pPr>
            <w:r>
              <w:rPr>
                <w:rFonts w:ascii="Calibri" w:hAnsi="Calibri"/>
                <w:b w:val="0"/>
                <w:sz w:val="19"/>
              </w:rPr>
              <w:t>1 (7.7%)</w:t>
            </w:r>
          </w:p>
        </w:tc>
        <w:tc>
          <w:tcPr>
            <w:tcW w:type="dxa" w:w="1560"/>
          </w:tcPr>
          <w:p>
            <w:pPr>
              <w:jc w:val="center"/>
            </w:pPr>
            <w:r>
              <w:rPr>
                <w:rFonts w:ascii="Calibri" w:hAnsi="Calibri"/>
                <w:b w:val="0"/>
                <w:sz w:val="19"/>
              </w:rPr>
              <w:t>29 (61.7%)</w:t>
            </w:r>
          </w:p>
        </w:tc>
        <w:tc>
          <w:tcPr>
            <w:tcW w:type="dxa" w:w="1560"/>
          </w:tcPr>
          <w:p>
            <w:pPr>
              <w:jc w:val="center"/>
            </w:pPr>
            <w:r>
              <w:rPr>
                <w:rFonts w:ascii="Calibri" w:hAnsi="Calibri"/>
                <w:b w:val="0"/>
                <w:sz w:val="19"/>
              </w:rPr>
              <w:t>30 (50.0%)</w:t>
            </w:r>
          </w:p>
        </w:tc>
        <w:tc>
          <w:tcPr>
            <w:tcW w:type="dxa" w:w="1560"/>
          </w:tcPr>
          <w:p>
            <w:pPr>
              <w:jc w:val="center"/>
            </w:pPr>
            <w:r>
              <w:rPr>
                <w:rFonts w:ascii="Calibri" w:hAnsi="Calibri"/>
                <w:b w:val="0"/>
                <w:sz w:val="19"/>
              </w:rPr>
              <w:t>Pearson χ² = 9.820</w:t>
            </w:r>
          </w:p>
        </w:tc>
        <w:tc>
          <w:tcPr>
            <w:tcW w:type="dxa" w:w="1560"/>
          </w:tcPr>
          <w:p>
            <w:pPr>
              <w:jc w:val="center"/>
            </w:pPr>
            <w:r>
              <w:rPr>
                <w:rFonts w:ascii="Calibri" w:hAnsi="Calibri"/>
                <w:b w:val="0"/>
                <w:sz w:val="19"/>
              </w:rPr>
              <w:t>0.002*</w:t>
            </w:r>
          </w:p>
        </w:tc>
      </w:tr>
      <w:tr>
        <w:tc>
          <w:tcPr>
            <w:tcW w:type="dxa" w:w="1560"/>
          </w:tcPr>
          <w:p>
            <w:pPr>
              <w:jc w:val="left"/>
            </w:pPr>
            <w:r>
              <w:rPr>
                <w:rFonts w:ascii="Calibri" w:hAnsi="Calibri"/>
                <w:b w:val="0"/>
                <w:sz w:val="19"/>
              </w:rPr>
              <w:t>7. Extension contact in last 12 months (Yes = 1)</w:t>
            </w:r>
          </w:p>
        </w:tc>
        <w:tc>
          <w:tcPr>
            <w:tcW w:type="dxa" w:w="1560"/>
          </w:tcPr>
          <w:p>
            <w:pPr>
              <w:jc w:val="center"/>
            </w:pPr>
            <w:r>
              <w:rPr>
                <w:rFonts w:ascii="Calibri" w:hAnsi="Calibri"/>
                <w:b w:val="0"/>
                <w:sz w:val="19"/>
              </w:rPr>
              <w:t>0 (0.0%)</w:t>
            </w:r>
          </w:p>
        </w:tc>
        <w:tc>
          <w:tcPr>
            <w:tcW w:type="dxa" w:w="1560"/>
          </w:tcPr>
          <w:p>
            <w:pPr>
              <w:jc w:val="center"/>
            </w:pPr>
            <w:r>
              <w:rPr>
                <w:rFonts w:ascii="Calibri" w:hAnsi="Calibri"/>
                <w:b w:val="0"/>
                <w:sz w:val="19"/>
              </w:rPr>
              <w:t>21 (44.7%)</w:t>
            </w:r>
          </w:p>
        </w:tc>
        <w:tc>
          <w:tcPr>
            <w:tcW w:type="dxa" w:w="1560"/>
          </w:tcPr>
          <w:p>
            <w:pPr>
              <w:jc w:val="center"/>
            </w:pPr>
            <w:r>
              <w:rPr>
                <w:rFonts w:ascii="Calibri" w:hAnsi="Calibri"/>
                <w:b w:val="0"/>
                <w:sz w:val="19"/>
              </w:rPr>
              <w:t>21 (35.0%)</w:t>
            </w:r>
          </w:p>
        </w:tc>
        <w:tc>
          <w:tcPr>
            <w:tcW w:type="dxa" w:w="1560"/>
          </w:tcPr>
          <w:p>
            <w:pPr>
              <w:jc w:val="center"/>
            </w:pPr>
            <w:r>
              <w:rPr>
                <w:rFonts w:ascii="Calibri" w:hAnsi="Calibri"/>
                <w:b w:val="0"/>
                <w:sz w:val="19"/>
              </w:rPr>
              <w:t>Fisher's exact test</w:t>
            </w:r>
          </w:p>
        </w:tc>
        <w:tc>
          <w:tcPr>
            <w:tcW w:type="dxa" w:w="1560"/>
          </w:tcPr>
          <w:p>
            <w:pPr>
              <w:jc w:val="center"/>
            </w:pPr>
            <w:r>
              <w:rPr>
                <w:rFonts w:ascii="Calibri" w:hAnsi="Calibri"/>
                <w:b w:val="0"/>
                <w:sz w:val="19"/>
              </w:rPr>
              <w:t>0.002*</w:t>
            </w:r>
          </w:p>
        </w:tc>
      </w:tr>
      <w:tr>
        <w:tc>
          <w:tcPr>
            <w:tcW w:type="dxa" w:w="1560"/>
          </w:tcPr>
          <w:p>
            <w:pPr>
              <w:jc w:val="left"/>
            </w:pPr>
            <w:r>
              <w:rPr>
                <w:rFonts w:ascii="Calibri" w:hAnsi="Calibri"/>
                <w:b w:val="0"/>
                <w:sz w:val="19"/>
              </w:rPr>
              <w:t>8. Use of improved yam varieties (Yes = 1)</w:t>
            </w:r>
          </w:p>
        </w:tc>
        <w:tc>
          <w:tcPr>
            <w:tcW w:type="dxa" w:w="1560"/>
          </w:tcPr>
          <w:p>
            <w:pPr>
              <w:jc w:val="center"/>
            </w:pPr>
            <w:r>
              <w:rPr>
                <w:rFonts w:ascii="Calibri" w:hAnsi="Calibri"/>
                <w:b w:val="0"/>
                <w:sz w:val="19"/>
              </w:rPr>
              <w:t>0 (0.0%)</w:t>
            </w:r>
          </w:p>
        </w:tc>
        <w:tc>
          <w:tcPr>
            <w:tcW w:type="dxa" w:w="1560"/>
          </w:tcPr>
          <w:p>
            <w:pPr>
              <w:jc w:val="center"/>
            </w:pPr>
            <w:r>
              <w:rPr>
                <w:rFonts w:ascii="Calibri" w:hAnsi="Calibri"/>
                <w:b w:val="0"/>
                <w:sz w:val="19"/>
              </w:rPr>
              <w:t>2 (4.3%)</w:t>
            </w:r>
          </w:p>
        </w:tc>
        <w:tc>
          <w:tcPr>
            <w:tcW w:type="dxa" w:w="1560"/>
          </w:tcPr>
          <w:p>
            <w:pPr>
              <w:jc w:val="center"/>
            </w:pPr>
            <w:r>
              <w:rPr>
                <w:rFonts w:ascii="Calibri" w:hAnsi="Calibri"/>
                <w:b w:val="0"/>
                <w:sz w:val="19"/>
              </w:rPr>
              <w:t>2 (3.3%)</w:t>
            </w:r>
          </w:p>
        </w:tc>
        <w:tc>
          <w:tcPr>
            <w:tcW w:type="dxa" w:w="1560"/>
          </w:tcPr>
          <w:p>
            <w:pPr>
              <w:jc w:val="center"/>
            </w:pPr>
            <w:r>
              <w:rPr>
                <w:rFonts w:ascii="Calibri" w:hAnsi="Calibri"/>
                <w:b w:val="0"/>
                <w:sz w:val="19"/>
              </w:rPr>
              <w:t>Fisher's exact test</w:t>
            </w:r>
          </w:p>
        </w:tc>
        <w:tc>
          <w:tcPr>
            <w:tcW w:type="dxa" w:w="1560"/>
          </w:tcPr>
          <w:p>
            <w:pPr>
              <w:jc w:val="center"/>
            </w:pPr>
            <w:r>
              <w:rPr>
                <w:rFonts w:ascii="Calibri" w:hAnsi="Calibri"/>
                <w:b w:val="0"/>
                <w:sz w:val="19"/>
              </w:rPr>
              <w:t>1.000</w:t>
            </w:r>
          </w:p>
        </w:tc>
      </w:tr>
      <w:tr>
        <w:tc>
          <w:tcPr>
            <w:tcW w:type="dxa" w:w="1560"/>
          </w:tcPr>
          <w:p>
            <w:pPr>
              <w:jc w:val="left"/>
            </w:pPr>
            <w:r>
              <w:rPr>
                <w:rFonts w:ascii="Calibri" w:hAnsi="Calibri"/>
                <w:b w:val="0"/>
                <w:sz w:val="19"/>
              </w:rPr>
              <w:t>9. Application of fertilizer/manure (Yes = 1)</w:t>
            </w:r>
          </w:p>
        </w:tc>
        <w:tc>
          <w:tcPr>
            <w:tcW w:type="dxa" w:w="1560"/>
          </w:tcPr>
          <w:p>
            <w:pPr>
              <w:jc w:val="center"/>
            </w:pPr>
            <w:r>
              <w:rPr>
                <w:rFonts w:ascii="Calibri" w:hAnsi="Calibri"/>
                <w:b w:val="0"/>
                <w:sz w:val="19"/>
              </w:rPr>
              <w:t>9 (69.2%)</w:t>
            </w:r>
          </w:p>
        </w:tc>
        <w:tc>
          <w:tcPr>
            <w:tcW w:type="dxa" w:w="1560"/>
          </w:tcPr>
          <w:p>
            <w:pPr>
              <w:jc w:val="center"/>
            </w:pPr>
            <w:r>
              <w:rPr>
                <w:rFonts w:ascii="Calibri" w:hAnsi="Calibri"/>
                <w:b w:val="0"/>
                <w:sz w:val="19"/>
              </w:rPr>
              <w:t>39 (83.0%)</w:t>
            </w:r>
          </w:p>
        </w:tc>
        <w:tc>
          <w:tcPr>
            <w:tcW w:type="dxa" w:w="1560"/>
          </w:tcPr>
          <w:p>
            <w:pPr>
              <w:jc w:val="center"/>
            </w:pPr>
            <w:r>
              <w:rPr>
                <w:rFonts w:ascii="Calibri" w:hAnsi="Calibri"/>
                <w:b w:val="0"/>
                <w:sz w:val="19"/>
              </w:rPr>
              <w:t>48 (80.0%)</w:t>
            </w:r>
          </w:p>
        </w:tc>
        <w:tc>
          <w:tcPr>
            <w:tcW w:type="dxa" w:w="1560"/>
          </w:tcPr>
          <w:p>
            <w:pPr>
              <w:jc w:val="center"/>
            </w:pPr>
            <w:r>
              <w:rPr>
                <w:rFonts w:ascii="Calibri" w:hAnsi="Calibri"/>
                <w:b w:val="0"/>
                <w:sz w:val="19"/>
              </w:rPr>
              <w:t>Pearson χ² = 0.497</w:t>
            </w:r>
          </w:p>
        </w:tc>
        <w:tc>
          <w:tcPr>
            <w:tcW w:type="dxa" w:w="1560"/>
          </w:tcPr>
          <w:p>
            <w:pPr>
              <w:jc w:val="center"/>
            </w:pPr>
            <w:r>
              <w:rPr>
                <w:rFonts w:ascii="Calibri" w:hAnsi="Calibri"/>
                <w:b w:val="0"/>
                <w:sz w:val="19"/>
              </w:rPr>
              <w:t>0.481</w:t>
            </w:r>
          </w:p>
        </w:tc>
      </w:tr>
      <w:tr>
        <w:tc>
          <w:tcPr>
            <w:tcW w:type="dxa" w:w="1560"/>
          </w:tcPr>
          <w:p>
            <w:pPr>
              <w:jc w:val="left"/>
            </w:pPr>
            <w:r>
              <w:rPr>
                <w:rFonts w:ascii="Calibri" w:hAnsi="Calibri"/>
                <w:b w:val="0"/>
                <w:sz w:val="19"/>
              </w:rPr>
              <w:t>10. Use of modern farm tools/technology (Yes = 1)</w:t>
            </w:r>
          </w:p>
        </w:tc>
        <w:tc>
          <w:tcPr>
            <w:tcW w:type="dxa" w:w="1560"/>
          </w:tcPr>
          <w:p>
            <w:pPr>
              <w:jc w:val="center"/>
            </w:pPr>
            <w:r>
              <w:rPr>
                <w:rFonts w:ascii="Calibri" w:hAnsi="Calibri"/>
                <w:b w:val="0"/>
                <w:sz w:val="19"/>
              </w:rPr>
              <w:t>0 (0.0%)</w:t>
            </w:r>
          </w:p>
        </w:tc>
        <w:tc>
          <w:tcPr>
            <w:tcW w:type="dxa" w:w="1560"/>
          </w:tcPr>
          <w:p>
            <w:pPr>
              <w:jc w:val="center"/>
            </w:pPr>
            <w:r>
              <w:rPr>
                <w:rFonts w:ascii="Calibri" w:hAnsi="Calibri"/>
                <w:b w:val="0"/>
                <w:sz w:val="19"/>
              </w:rPr>
              <w:t>6 (12.8%)</w:t>
            </w:r>
          </w:p>
        </w:tc>
        <w:tc>
          <w:tcPr>
            <w:tcW w:type="dxa" w:w="1560"/>
          </w:tcPr>
          <w:p>
            <w:pPr>
              <w:jc w:val="center"/>
            </w:pPr>
            <w:r>
              <w:rPr>
                <w:rFonts w:ascii="Calibri" w:hAnsi="Calibri"/>
                <w:b w:val="0"/>
                <w:sz w:val="19"/>
              </w:rPr>
              <w:t>6 (10.0%)</w:t>
            </w:r>
          </w:p>
        </w:tc>
        <w:tc>
          <w:tcPr>
            <w:tcW w:type="dxa" w:w="1560"/>
          </w:tcPr>
          <w:p>
            <w:pPr>
              <w:jc w:val="center"/>
            </w:pPr>
            <w:r>
              <w:rPr>
                <w:rFonts w:ascii="Calibri" w:hAnsi="Calibri"/>
                <w:b w:val="0"/>
                <w:sz w:val="19"/>
              </w:rPr>
              <w:t>Fisher's exact test</w:t>
            </w:r>
          </w:p>
        </w:tc>
        <w:tc>
          <w:tcPr>
            <w:tcW w:type="dxa" w:w="1560"/>
          </w:tcPr>
          <w:p>
            <w:pPr>
              <w:jc w:val="center"/>
            </w:pPr>
            <w:r>
              <w:rPr>
                <w:rFonts w:ascii="Calibri" w:hAnsi="Calibri"/>
                <w:b w:val="0"/>
                <w:sz w:val="19"/>
              </w:rPr>
              <w:t>0.324</w:t>
            </w:r>
          </w:p>
        </w:tc>
      </w:tr>
      <w:tr>
        <w:tc>
          <w:tcPr>
            <w:tcW w:type="dxa" w:w="1560"/>
          </w:tcPr>
          <w:p>
            <w:pPr>
              <w:jc w:val="left"/>
            </w:pPr>
            <w:r>
              <w:rPr>
                <w:rFonts w:ascii="Calibri" w:hAnsi="Calibri"/>
                <w:b w:val="0"/>
                <w:sz w:val="19"/>
              </w:rPr>
              <w:t>11. Membership in cooperative society (Yes = 1)</w:t>
            </w:r>
          </w:p>
        </w:tc>
        <w:tc>
          <w:tcPr>
            <w:tcW w:type="dxa" w:w="1560"/>
          </w:tcPr>
          <w:p>
            <w:pPr>
              <w:jc w:val="center"/>
            </w:pPr>
            <w:r>
              <w:rPr>
                <w:rFonts w:ascii="Calibri" w:hAnsi="Calibri"/>
                <w:b w:val="0"/>
                <w:sz w:val="19"/>
              </w:rPr>
              <w:t>10 (76.9%)</w:t>
            </w:r>
          </w:p>
        </w:tc>
        <w:tc>
          <w:tcPr>
            <w:tcW w:type="dxa" w:w="1560"/>
          </w:tcPr>
          <w:p>
            <w:pPr>
              <w:jc w:val="center"/>
            </w:pPr>
            <w:r>
              <w:rPr>
                <w:rFonts w:ascii="Calibri" w:hAnsi="Calibri"/>
                <w:b w:val="0"/>
                <w:sz w:val="19"/>
              </w:rPr>
              <w:t>39 (83.0%)</w:t>
            </w:r>
          </w:p>
        </w:tc>
        <w:tc>
          <w:tcPr>
            <w:tcW w:type="dxa" w:w="1560"/>
          </w:tcPr>
          <w:p>
            <w:pPr>
              <w:jc w:val="center"/>
            </w:pPr>
            <w:r>
              <w:rPr>
                <w:rFonts w:ascii="Calibri" w:hAnsi="Calibri"/>
                <w:b w:val="0"/>
                <w:sz w:val="19"/>
              </w:rPr>
              <w:t>49 (81.7%)</w:t>
            </w:r>
          </w:p>
        </w:tc>
        <w:tc>
          <w:tcPr>
            <w:tcW w:type="dxa" w:w="1560"/>
          </w:tcPr>
          <w:p>
            <w:pPr>
              <w:jc w:val="center"/>
            </w:pPr>
            <w:r>
              <w:rPr>
                <w:rFonts w:ascii="Calibri" w:hAnsi="Calibri"/>
                <w:b w:val="0"/>
                <w:sz w:val="19"/>
              </w:rPr>
              <w:t>Pearson χ² = 0.009</w:t>
            </w:r>
          </w:p>
        </w:tc>
        <w:tc>
          <w:tcPr>
            <w:tcW w:type="dxa" w:w="1560"/>
          </w:tcPr>
          <w:p>
            <w:pPr>
              <w:jc w:val="center"/>
            </w:pPr>
            <w:r>
              <w:rPr>
                <w:rFonts w:ascii="Calibri" w:hAnsi="Calibri"/>
                <w:b w:val="0"/>
                <w:sz w:val="19"/>
              </w:rPr>
              <w:t>0.925</w:t>
            </w:r>
          </w:p>
        </w:tc>
      </w:tr>
    </w:tbl>
    <w:p>
      <w:pPr>
        <w:spacing w:after="80"/>
      </w:pPr>
    </w:p>
    <w:p>
      <w:pPr>
        <w:spacing w:after="240"/>
        <w:jc w:val="left"/>
      </w:pPr>
      <w:r>
        <w:rPr>
          <w:i/>
          <w:sz w:val="19"/>
        </w:rPr>
        <w:t>Table 4.9: Socio-Demographic and Agricultural Factors Associated with Poverty Status of Yam Farmers in Akpabuyo LGA (N = 60)</w:t>
        <w:br/>
        <w:t>Source: Field Survey Data Analysis, 2026. * Statistically significant at p &lt; 0.05. Primary non-parametric test for continuous variables: Mann–Whitney U test. Categorical variables evaluated via Pearson χ² (if expected cell counts ≥ 5) or Fisher's exact test (if expected cell counts &lt; 5).</w:t>
      </w:r>
    </w:p>
    <w:p>
      <w:pPr>
        <w:spacing w:after="120" w:line="276" w:lineRule="auto"/>
        <w:jc w:val="left"/>
      </w:pPr>
      <w:r>
        <w:rPr>
          <w:b/>
          <w:color w:val="1F4E78"/>
        </w:rPr>
        <w:t xml:space="preserve">Bivariate Findings: </w:t>
      </w:r>
      <w:r>
        <w:t>The bivariate results in Table 4.9 demonstrate distinct empirical relationships across the evaluated factors:</w:t>
      </w:r>
    </w:p>
    <w:p>
      <w:pPr>
        <w:spacing w:after="120" w:line="276" w:lineRule="auto"/>
        <w:jc w:val="left"/>
      </w:pPr>
      <w:r>
        <w:rPr>
          <w:b/>
          <w:color w:val="1F4E78"/>
        </w:rPr>
        <w:t xml:space="preserve">1. Age of Farmer: </w:t>
      </w:r>
      <w:r>
        <w:t>Poor farmers had significantly higher ages (mean = 51.31 ± 8.99 years; median = 53.00 years) than non-poor farmers (mean = 44.57 ± 8.04 years; median = 45.00 years). Age was approximately normally distributed within the poverty groups based on the Shapiro–Wilk assessment; however, the Mann–Whitney U test was retained as the primary comparison to provide a conservative non-parametric assessment (Mann–Whitney U = 432.00, p = 0.024; Welch t = 2.443, p = 0.025). Older farmers may experience declining physical stamina for intensive yam cultivation and lower inclination toward adopting modern agronomic practices.</w:t>
      </w:r>
    </w:p>
    <w:p>
      <w:pPr>
        <w:spacing w:after="120" w:line="276" w:lineRule="auto"/>
        <w:jc w:val="left"/>
      </w:pPr>
      <w:r>
        <w:rPr>
          <w:b/>
          <w:color w:val="1F4E78"/>
        </w:rPr>
        <w:t xml:space="preserve">2. Household Size and Methodological Consideration: </w:t>
      </w:r>
      <w:r>
        <w:t>Poor households had significantly larger household sizes (mean = 8.31 ± 1.70 persons; median = 9.00 persons, range = 6 to 10) than non-poor households (mean = 5.66 ± 1.43 persons; median = 5.00 persons, range = 3 to 9). The Mann–Whitney U test demonstrated a highly significant difference in distributions (Mann–Whitney U = 536.00, p &lt; 0.001; Welch t = 5.129, p &lt; 0.001). However, household size requires cautious interpretation because household size is the denominator used in calculating per-capita household expenditure, which subsequently determines poverty classification. Consequently, the observed association between household size and poverty status may partly reflect the mathematical construction of the welfare measure rather than an independent socioeconomic effect.</w:t>
      </w:r>
    </w:p>
    <w:p>
      <w:pPr>
        <w:spacing w:after="120" w:line="276" w:lineRule="auto"/>
        <w:jc w:val="left"/>
      </w:pPr>
      <w:r>
        <w:rPr>
          <w:b/>
          <w:color w:val="1F4E78"/>
        </w:rPr>
        <w:t xml:space="preserve">3. Educational Attainment: </w:t>
      </w:r>
      <w:r>
        <w:t>Educational attainment was concentrated across secondary (45.0%, n = 27) and primary (30.0%, n = 18) levels, with 25.0% (n = 15) attaining tertiary education. While tertiary education was more prevalent among non-poor farmers (29.8%, n = 14) than poor farmers (7.7%, n = 1), the overall cross-tabulation across educational tiers did not achieve statistical significance at the 5% level (Pearson χ² = 2.673, df = 2, p = 0.263).</w:t>
      </w:r>
    </w:p>
    <w:p>
      <w:pPr>
        <w:spacing w:after="120" w:line="276" w:lineRule="auto"/>
        <w:jc w:val="left"/>
      </w:pPr>
      <w:r>
        <w:rPr>
          <w:b/>
          <w:color w:val="1F4E78"/>
        </w:rPr>
        <w:t xml:space="preserve">4. Land Holding and Farm Size: </w:t>
      </w:r>
      <w:r>
        <w:t>Poor yam farmers operated significantly smaller total farm sizes (mean = 1.98 ± 0.48 ha; median = 1.90 ha) compared to non-poor farmers (mean = 2.56 ± 0.82 ha; median = 2.20 ha; Mann–Whitney U = 170.50, p = 0.016). Area under yam cultivation was also smaller among poor households (mean = 1.43 ± 0.37 ha) than non-poor households (mean = 1.73 ± 0.56 ha), though this specific subset difference did not reach statistical significance at α = 0.05 (Mann–Whitney U = 205.00, p = 0.072).</w:t>
      </w:r>
    </w:p>
    <w:p>
      <w:pPr>
        <w:spacing w:after="120" w:line="276" w:lineRule="auto"/>
        <w:jc w:val="left"/>
      </w:pPr>
      <w:r>
        <w:rPr>
          <w:b/>
          <w:color w:val="1F4E78"/>
        </w:rPr>
        <w:t xml:space="preserve">5. Access to Credit: </w:t>
      </w:r>
      <w:r>
        <w:t>Access to agricultural credit was one of the strongest institutional factors distinguishing poor from non-poor households. Exactly 61.7% (n = 29) of non-poor farmers obtained credit during the preceding farming season, compared to only 7.7% (n = 1) of poor farmers (Pearson χ² = 9.820, df = 1, p = 0.002; Fisher's exact test p = 0.001). Access to financial liquidity strongly distinguished non-poor from poor farming households.</w:t>
      </w:r>
    </w:p>
    <w:p>
      <w:pPr>
        <w:spacing w:after="120" w:line="276" w:lineRule="auto"/>
        <w:jc w:val="left"/>
      </w:pPr>
      <w:r>
        <w:rPr>
          <w:b/>
          <w:color w:val="1F4E78"/>
        </w:rPr>
        <w:t xml:space="preserve">6. Agricultural Extension Contact: </w:t>
      </w:r>
      <w:r>
        <w:t>None of the poor respondents reported contact with an agricultural extension agent during the preceding 12 months (0.0%, n = 0), compared with 44.7% (n = 21) of non-poor respondents. This difference was statistically significant (Fisher's exact test p = 0.002).</w:t>
      </w:r>
    </w:p>
    <w:p>
      <w:pPr>
        <w:spacing w:after="120" w:line="276" w:lineRule="auto"/>
        <w:jc w:val="left"/>
      </w:pPr>
      <w:r>
        <w:rPr>
          <w:b/>
          <w:color w:val="1F4E78"/>
        </w:rPr>
        <w:t xml:space="preserve">7. Technology Adoption and Cooperative Membership: </w:t>
      </w:r>
      <w:r>
        <w:t>Differences between poor and non-poor households for the remaining technology adoption and social capital indicators were not statistically significant at α = 0.05. Application of fertilizer or manure was high in both non-poor (83.0%) and poor (69.2%) groups (Pearson χ² = 0.497, p = 0.481). Cooperative membership was similarly high among non-poor (83.0%) and poor (76.9%) farmers (Pearson χ² = 0.009, p = 0.925), indicating that general cooperative membership alone without targeted credit access does not differentiate poverty status. Adoption of modern farm tools was reported by 12.8% of non-poor farmers versus 0.0% of poor farmers (Fisher's exact test p = 0.324), and improved yam varieties were used by only 4.3% of non-poor farmers versus 0.0% of poor farmers (Fisher's exact test p = 1.000).</w:t>
      </w:r>
    </w:p>
    <w:p>
      <w:pPr>
        <w:keepNext/>
        <w:spacing w:before="220" w:after="80"/>
      </w:pPr>
      <w:r>
        <w:rPr>
          <w:rFonts w:ascii="Calibri" w:hAnsi="Calibri"/>
          <w:b/>
          <w:color w:val="1F4E78"/>
          <w:sz w:val="26"/>
        </w:rPr>
        <w:t>4.4.3 Parsimonious Multivariable Analysis of Poverty Status</w:t>
      </w:r>
    </w:p>
    <w:p>
      <w:pPr>
        <w:spacing w:after="120" w:line="276" w:lineRule="auto"/>
        <w:jc w:val="left"/>
      </w:pPr>
      <w:r>
        <w:t>Because the number of poor households was limited to 13, a fully specified multivariable model containing all Objective II factors was not considered statistically reliable. A parsimonious logistic regression model was therefore retained as a complementary multivariable analysis rather than as a direct one-to-one representation of all factors specified in Objective II.</w:t>
      </w:r>
    </w:p>
    <w:p>
      <w:pPr>
        <w:spacing w:after="120" w:line="276" w:lineRule="auto"/>
        <w:jc w:val="left"/>
      </w:pPr>
      <w:r>
        <w:rPr>
          <w:b/>
          <w:color w:val="1F4E78"/>
        </w:rPr>
        <w:t xml:space="preserve">Methodological Screening &amp; Model Specification: </w:t>
      </w:r>
      <w:r>
        <w:t>Prior to model estimation, candidate predictors were evaluated under several methodological considerations:</w:t>
      </w:r>
    </w:p>
    <w:p>
      <w:pPr>
        <w:spacing w:after="120" w:line="276" w:lineRule="auto"/>
        <w:jc w:val="left"/>
      </w:pPr>
      <w:r>
        <w:rPr>
          <w:b/>
          <w:color w:val="1F4E78"/>
        </w:rPr>
        <w:t xml:space="preserve">1. Multicollinearity Assessment: </w:t>
      </w:r>
      <w:r>
        <w:t>Correlation analysis between total farm size and area under yam cultivation revealed an extremely strong linear correlation (r = 0.9642, p &lt; 0.001) and severe variance inflation factors (VIF = 16.00 for total farm size and VIF = 15.85 for yam area). Because yam cultivation represents a direct subset of total farm size, incorporating both continuous land metrics simultaneously generates severe multicollinearity. Total farm size was selected for the multivariable model as it represents total productive land holding and exhibited a stronger bivariate association with poverty status.</w:t>
      </w:r>
    </w:p>
    <w:p>
      <w:pPr>
        <w:spacing w:after="120" w:line="276" w:lineRule="auto"/>
        <w:jc w:val="left"/>
      </w:pPr>
      <w:r>
        <w:rPr>
          <w:b/>
          <w:color w:val="1F4E78"/>
        </w:rPr>
        <w:t xml:space="preserve">2. Zero-Cell Separation &amp; Category Sparsity: </w:t>
      </w:r>
      <w:r>
        <w:t>Zero poor households reported extension contact (0/13 = 0.0%), zero used modern tools (0/13 = 0.0%), and zero used improved varieties (0/13 = 0.0%). In standard Maximum Likelihood Estimation (MLE) logistic regression, zero cell frequencies create quasi-complete separation, causing parameter estimates to diverge toward infinity and preventing algorithm convergence. Furthermore, adoption of improved varieties (n = 2, 3.3%) and modern tools (n = 6, 10.0%) suffered from extreme category sparsity.</w:t>
      </w:r>
    </w:p>
    <w:p>
      <w:pPr>
        <w:spacing w:after="120" w:line="276" w:lineRule="auto"/>
        <w:jc w:val="left"/>
      </w:pPr>
      <w:r>
        <w:rPr>
          <w:b/>
          <w:color w:val="1F4E78"/>
        </w:rPr>
        <w:t xml:space="preserve">3. Mechanical Dependence of Household Size: </w:t>
      </w:r>
      <w:r>
        <w:t>As established in Section 4.4.2, household size is the direct denominator in the calculation of per-capita household expenditure. Including household size as a direct explanatory regressor in multivariable regression introduces a mechanical dependence with the dependent variable, which can distort the estimated structural associations of productive assets and credit access.</w:t>
      </w:r>
    </w:p>
    <w:p>
      <w:pPr>
        <w:spacing w:after="120" w:line="276" w:lineRule="auto"/>
        <w:jc w:val="left"/>
      </w:pPr>
      <w:r>
        <w:rPr>
          <w:b/>
          <w:color w:val="1F4E78"/>
        </w:rPr>
        <w:t xml:space="preserve">4. Parsimonious Model Specification: </w:t>
      </w:r>
      <w:r>
        <w:t>Given the 13 poverty events in the sample, a parsimonious two-predictor model incorporating Total Farm Size (hectares) and Access to Credit (1 = Yes, 0 = No) was retained to limit model complexity and reduce the risk of unstable estimates.</w:t>
      </w:r>
    </w:p>
    <w:p>
      <w:pPr>
        <w:spacing w:after="120" w:line="276" w:lineRule="auto"/>
        <w:jc w:val="left"/>
      </w:pPr>
      <w:r>
        <w:t>Table 4.10 presents the binary logistic regression estimates, including regression coefficients (β), standard errors (SE), odds ratios (OR), 95% confidence intervals, and p-values.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8"/>
          </w:tcPr>
          <w:p>
            <w:pPr>
              <w:jc w:val="center"/>
            </w:pPr>
            <w:r>
              <w:rPr>
                <w:rFonts w:ascii="Calibri" w:hAnsi="Calibri"/>
                <w:b/>
                <w:color w:val="FFFFFF"/>
                <w:sz w:val="20"/>
              </w:rPr>
              <w:t>Predictor Variable</w:t>
            </w:r>
          </w:p>
        </w:tc>
        <w:tc>
          <w:tcPr>
            <w:tcW w:type="dxa" w:w="1560"/>
            <w:shd w:fill="1F4E78"/>
          </w:tcPr>
          <w:p>
            <w:pPr>
              <w:jc w:val="center"/>
            </w:pPr>
            <w:r>
              <w:rPr>
                <w:rFonts w:ascii="Calibri" w:hAnsi="Calibri"/>
                <w:b/>
                <w:color w:val="FFFFFF"/>
                <w:sz w:val="20"/>
              </w:rPr>
              <w:t>Coefficient (β)</w:t>
            </w:r>
          </w:p>
        </w:tc>
        <w:tc>
          <w:tcPr>
            <w:tcW w:type="dxa" w:w="1560"/>
            <w:shd w:fill="1F4E78"/>
          </w:tcPr>
          <w:p>
            <w:pPr>
              <w:jc w:val="center"/>
            </w:pPr>
            <w:r>
              <w:rPr>
                <w:rFonts w:ascii="Calibri" w:hAnsi="Calibri"/>
                <w:b/>
                <w:color w:val="FFFFFF"/>
                <w:sz w:val="20"/>
              </w:rPr>
              <w:t>Standard Error (SE)</w:t>
            </w:r>
          </w:p>
        </w:tc>
        <w:tc>
          <w:tcPr>
            <w:tcW w:type="dxa" w:w="1560"/>
            <w:shd w:fill="1F4E78"/>
          </w:tcPr>
          <w:p>
            <w:pPr>
              <w:jc w:val="center"/>
            </w:pPr>
            <w:r>
              <w:rPr>
                <w:rFonts w:ascii="Calibri" w:hAnsi="Calibri"/>
                <w:b/>
                <w:color w:val="FFFFFF"/>
                <w:sz w:val="20"/>
              </w:rPr>
              <w:t>Odds Ratio (OR)</w:t>
            </w:r>
          </w:p>
        </w:tc>
        <w:tc>
          <w:tcPr>
            <w:tcW w:type="dxa" w:w="1560"/>
            <w:shd w:fill="1F4E78"/>
          </w:tcPr>
          <w:p>
            <w:pPr>
              <w:jc w:val="center"/>
            </w:pPr>
            <w:r>
              <w:rPr>
                <w:rFonts w:ascii="Calibri" w:hAnsi="Calibri"/>
                <w:b/>
                <w:color w:val="FFFFFF"/>
                <w:sz w:val="20"/>
              </w:rPr>
              <w:t>95% CI for OR</w:t>
            </w:r>
          </w:p>
        </w:tc>
        <w:tc>
          <w:tcPr>
            <w:tcW w:type="dxa" w:w="1560"/>
            <w:shd w:fill="1F4E78"/>
          </w:tcPr>
          <w:p>
            <w:pPr>
              <w:jc w:val="center"/>
            </w:pPr>
            <w:r>
              <w:rPr>
                <w:rFonts w:ascii="Calibri" w:hAnsi="Calibri"/>
                <w:b/>
                <w:color w:val="FFFFFF"/>
                <w:sz w:val="20"/>
              </w:rPr>
              <w:t>p-value</w:t>
            </w:r>
          </w:p>
        </w:tc>
      </w:tr>
      <w:tr>
        <w:tc>
          <w:tcPr>
            <w:tcW w:type="dxa" w:w="1560"/>
          </w:tcPr>
          <w:p>
            <w:pPr>
              <w:jc w:val="left"/>
            </w:pPr>
            <w:r>
              <w:rPr>
                <w:rFonts w:ascii="Calibri" w:hAnsi="Calibri"/>
                <w:sz w:val="19"/>
              </w:rPr>
              <w:t>Total farm size (per hectare increase)</w:t>
            </w:r>
          </w:p>
        </w:tc>
        <w:tc>
          <w:tcPr>
            <w:tcW w:type="dxa" w:w="1560"/>
          </w:tcPr>
          <w:p>
            <w:pPr>
              <w:jc w:val="center"/>
            </w:pPr>
            <w:r>
              <w:rPr>
                <w:rFonts w:ascii="Calibri" w:hAnsi="Calibri"/>
                <w:sz w:val="19"/>
              </w:rPr>
              <w:t>-0.430</w:t>
            </w:r>
          </w:p>
        </w:tc>
        <w:tc>
          <w:tcPr>
            <w:tcW w:type="dxa" w:w="1560"/>
          </w:tcPr>
          <w:p>
            <w:pPr>
              <w:jc w:val="center"/>
            </w:pPr>
            <w:r>
              <w:rPr>
                <w:rFonts w:ascii="Calibri" w:hAnsi="Calibri"/>
                <w:sz w:val="19"/>
              </w:rPr>
              <w:t>0.815</w:t>
            </w:r>
          </w:p>
        </w:tc>
        <w:tc>
          <w:tcPr>
            <w:tcW w:type="dxa" w:w="1560"/>
          </w:tcPr>
          <w:p>
            <w:pPr>
              <w:jc w:val="center"/>
            </w:pPr>
            <w:r>
              <w:rPr>
                <w:rFonts w:ascii="Calibri" w:hAnsi="Calibri"/>
                <w:sz w:val="19"/>
              </w:rPr>
              <w:t>0.650</w:t>
            </w:r>
          </w:p>
        </w:tc>
        <w:tc>
          <w:tcPr>
            <w:tcW w:type="dxa" w:w="1560"/>
          </w:tcPr>
          <w:p>
            <w:pPr>
              <w:jc w:val="center"/>
            </w:pPr>
            <w:r>
              <w:rPr>
                <w:rFonts w:ascii="Calibri" w:hAnsi="Calibri"/>
                <w:sz w:val="19"/>
              </w:rPr>
              <w:t>0.132 – 3.215</w:t>
            </w:r>
          </w:p>
        </w:tc>
        <w:tc>
          <w:tcPr>
            <w:tcW w:type="dxa" w:w="1560"/>
          </w:tcPr>
          <w:p>
            <w:pPr>
              <w:jc w:val="center"/>
            </w:pPr>
            <w:r>
              <w:rPr>
                <w:rFonts w:ascii="Calibri" w:hAnsi="Calibri"/>
                <w:sz w:val="19"/>
              </w:rPr>
              <w:t>0.598</w:t>
            </w:r>
          </w:p>
        </w:tc>
      </w:tr>
      <w:tr>
        <w:tc>
          <w:tcPr>
            <w:tcW w:type="dxa" w:w="1560"/>
          </w:tcPr>
          <w:p>
            <w:pPr>
              <w:jc w:val="left"/>
            </w:pPr>
            <w:r>
              <w:rPr>
                <w:rFonts w:ascii="Calibri" w:hAnsi="Calibri"/>
                <w:sz w:val="19"/>
              </w:rPr>
              <w:t>Access to credit (Yes = 1 vs No = 0)</w:t>
            </w:r>
          </w:p>
        </w:tc>
        <w:tc>
          <w:tcPr>
            <w:tcW w:type="dxa" w:w="1560"/>
          </w:tcPr>
          <w:p>
            <w:pPr>
              <w:jc w:val="center"/>
            </w:pPr>
            <w:r>
              <w:rPr>
                <w:rFonts w:ascii="Calibri" w:hAnsi="Calibri"/>
                <w:sz w:val="19"/>
              </w:rPr>
              <w:t>-2.598</w:t>
            </w:r>
          </w:p>
        </w:tc>
        <w:tc>
          <w:tcPr>
            <w:tcW w:type="dxa" w:w="1560"/>
          </w:tcPr>
          <w:p>
            <w:pPr>
              <w:jc w:val="center"/>
            </w:pPr>
            <w:r>
              <w:rPr>
                <w:rFonts w:ascii="Calibri" w:hAnsi="Calibri"/>
                <w:sz w:val="19"/>
              </w:rPr>
              <w:t>1.245</w:t>
            </w:r>
          </w:p>
        </w:tc>
        <w:tc>
          <w:tcPr>
            <w:tcW w:type="dxa" w:w="1560"/>
          </w:tcPr>
          <w:p>
            <w:pPr>
              <w:jc w:val="center"/>
            </w:pPr>
            <w:r>
              <w:rPr>
                <w:rFonts w:ascii="Calibri" w:hAnsi="Calibri"/>
                <w:sz w:val="19"/>
              </w:rPr>
              <w:t>0.074</w:t>
            </w:r>
          </w:p>
        </w:tc>
        <w:tc>
          <w:tcPr>
            <w:tcW w:type="dxa" w:w="1560"/>
          </w:tcPr>
          <w:p>
            <w:pPr>
              <w:jc w:val="center"/>
            </w:pPr>
            <w:r>
              <w:rPr>
                <w:rFonts w:ascii="Calibri" w:hAnsi="Calibri"/>
                <w:sz w:val="19"/>
              </w:rPr>
              <w:t>0.006 – 0.854</w:t>
            </w:r>
          </w:p>
        </w:tc>
        <w:tc>
          <w:tcPr>
            <w:tcW w:type="dxa" w:w="1560"/>
          </w:tcPr>
          <w:p>
            <w:pPr>
              <w:jc w:val="center"/>
            </w:pPr>
            <w:r>
              <w:rPr>
                <w:rFonts w:ascii="Calibri" w:hAnsi="Calibri"/>
                <w:sz w:val="19"/>
              </w:rPr>
              <w:t>0.037*</w:t>
            </w:r>
          </w:p>
        </w:tc>
      </w:tr>
      <w:tr>
        <w:tc>
          <w:tcPr>
            <w:tcW w:type="dxa" w:w="1560"/>
          </w:tcPr>
          <w:p>
            <w:pPr>
              <w:jc w:val="left"/>
            </w:pPr>
            <w:r>
              <w:rPr>
                <w:rFonts w:ascii="Calibri" w:hAnsi="Calibri"/>
                <w:sz w:val="19"/>
              </w:rPr>
              <w:t>Intercept (Constant)</w:t>
            </w:r>
          </w:p>
        </w:tc>
        <w:tc>
          <w:tcPr>
            <w:tcW w:type="dxa" w:w="1560"/>
          </w:tcPr>
          <w:p>
            <w:pPr>
              <w:jc w:val="center"/>
            </w:pPr>
            <w:r>
              <w:rPr>
                <w:rFonts w:ascii="Calibri" w:hAnsi="Calibri"/>
                <w:sz w:val="19"/>
              </w:rPr>
              <w:t>0.433</w:t>
            </w:r>
          </w:p>
        </w:tc>
        <w:tc>
          <w:tcPr>
            <w:tcW w:type="dxa" w:w="1560"/>
          </w:tcPr>
          <w:p>
            <w:pPr>
              <w:jc w:val="center"/>
            </w:pPr>
            <w:r>
              <w:rPr>
                <w:rFonts w:ascii="Calibri" w:hAnsi="Calibri"/>
                <w:sz w:val="19"/>
              </w:rPr>
              <w:t>1.628</w:t>
            </w:r>
          </w:p>
        </w:tc>
        <w:tc>
          <w:tcPr>
            <w:tcW w:type="dxa" w:w="1560"/>
          </w:tcPr>
          <w:p>
            <w:pPr>
              <w:jc w:val="center"/>
            </w:pPr>
            <w:r>
              <w:rPr>
                <w:rFonts w:ascii="Calibri" w:hAnsi="Calibri"/>
                <w:sz w:val="19"/>
              </w:rPr>
              <w:t>1.542</w:t>
            </w:r>
          </w:p>
        </w:tc>
        <w:tc>
          <w:tcPr>
            <w:tcW w:type="dxa" w:w="1560"/>
          </w:tcPr>
          <w:p>
            <w:pPr>
              <w:jc w:val="center"/>
            </w:pPr>
            <w:r>
              <w:rPr>
                <w:rFonts w:ascii="Calibri" w:hAnsi="Calibri"/>
                <w:sz w:val="19"/>
              </w:rPr>
              <w:t>0.063 – 37.461</w:t>
            </w:r>
          </w:p>
        </w:tc>
        <w:tc>
          <w:tcPr>
            <w:tcW w:type="dxa" w:w="1560"/>
          </w:tcPr>
          <w:p>
            <w:pPr>
              <w:jc w:val="center"/>
            </w:pPr>
            <w:r>
              <w:rPr>
                <w:rFonts w:ascii="Calibri" w:hAnsi="Calibri"/>
                <w:sz w:val="19"/>
              </w:rPr>
              <w:t>0.790</w:t>
            </w:r>
          </w:p>
        </w:tc>
      </w:tr>
    </w:tbl>
    <w:p>
      <w:pPr>
        <w:spacing w:after="80"/>
      </w:pPr>
    </w:p>
    <w:p>
      <w:pPr>
        <w:spacing w:after="240"/>
        <w:jc w:val="left"/>
      </w:pPr>
      <w:r>
        <w:rPr>
          <w:i/>
          <w:sz w:val="19"/>
        </w:rPr>
        <w:t>Table 4.10: Binary Logistic Regression Analysis of Factors Associated with Poverty Status in Akpabuyo LGA (N = 60)</w:t>
        <w:br/>
        <w:t>Source: Field Survey Data Analysis, 2026. * Statistically significant at p &lt; 0.05. Model Likelihood Ratio χ² = 13.861 (df = 2, p = 0.001). McFadden R² = 0.221; Cox &amp; Snell R² = 0.206; Nagelkerke R² = 0.318. Dependent Variable: Poverty Status (Poor = 1, Non-poor = 0). Reference category for credit access is No (0).</w:t>
      </w:r>
    </w:p>
    <w:p>
      <w:pPr>
        <w:keepNext/>
        <w:spacing w:before="220" w:after="80"/>
      </w:pPr>
      <w:r>
        <w:rPr>
          <w:rFonts w:ascii="Calibri" w:hAnsi="Calibri"/>
          <w:b/>
          <w:color w:val="1F4E78"/>
          <w:sz w:val="26"/>
        </w:rPr>
        <w:t>4.4.4 Interpretation of Model Findings and Sensitivity Analysis</w:t>
      </w:r>
    </w:p>
    <w:p>
      <w:pPr>
        <w:spacing w:after="120" w:line="276" w:lineRule="auto"/>
        <w:jc w:val="left"/>
      </w:pPr>
      <w:r>
        <w:t>The overall binary logistic regression model demonstrated statistically significant fit over the intercept-only model (Likelihood Ratio χ² = 13.861, df = 2, p = 0.001). The model yielded a McFadden Pseudo R² of 0.221, a Cox &amp; Snell Pseudo R² of 0.206, and a Nagelkerke Pseudo R² of 0.318.</w:t>
      </w:r>
    </w:p>
    <w:p>
      <w:pPr>
        <w:spacing w:after="120" w:line="276" w:lineRule="auto"/>
        <w:jc w:val="left"/>
      </w:pPr>
      <w:r>
        <w:t>Regarding classification performance, at an optimal decision cutoff of 0.25 (reflecting the sample poverty rate of 21.67%), the model achieved a balanced accuracy of 70.1% (sensitivity = 61.5%, specificity = 78.7%, overall accuracy = 75.0%), demonstrating meaningful classification performance beyond the baseline distribution.</w:t>
      </w:r>
    </w:p>
    <w:p>
      <w:pPr>
        <w:spacing w:after="120" w:line="276" w:lineRule="auto"/>
        <w:jc w:val="left"/>
      </w:pPr>
      <w:r>
        <w:rPr>
          <w:b/>
          <w:color w:val="1F4E78"/>
        </w:rPr>
        <w:t xml:space="preserve">Access to Credit: </w:t>
      </w:r>
      <w:r>
        <w:t>Access to credit was significantly associated with lower odds of being classified as poor (β = -2.598, SE = 1.245, p = 0.037). The estimated odds ratio was OR = 0.074 (95% CI: 0.007 to 0.854). Holding total farm size constant, yam farmers who had access to credit had 92.6% lower odds of being poor compared to farmers without credit access (or equivalently, were significantly more likely to be non-poor). To verify small-sample stability, a Firth penalized logistic regression sensitivity analysis produced a consistent protective association for access to credit (OR = 0.110, 95% CI: 0.014 to 0.891, p = 0.039), confirming the robustness of the credit association under small-sample penalization.</w:t>
      </w:r>
    </w:p>
    <w:p>
      <w:pPr>
        <w:spacing w:after="120" w:line="276" w:lineRule="auto"/>
        <w:jc w:val="left"/>
      </w:pPr>
      <w:r>
        <w:rPr>
          <w:b/>
          <w:color w:val="1F4E78"/>
        </w:rPr>
        <w:t xml:space="preserve">Total Farm Size: </w:t>
      </w:r>
      <w:r>
        <w:t>Total farm size exhibited a negative regression coefficient (β = -0.430, SE = 0.815, OR = 0.651, 95% CI: 0.132 to 3.217), indicating that each additional hectare of land was associated with 34.9% lower odds of poverty. However, in the multivariable model controlling for credit access, this association was not statistically significant (p = 0.598). While total farm size showed a significant bivariate association with poverty status (Mann–Whitney U p = 0.016), its multivariable effect was partially attenuated when controlling for credit access.</w:t>
      </w:r>
    </w:p>
    <w:p>
      <w:pPr>
        <w:keepNext/>
        <w:spacing w:before="220" w:after="80"/>
      </w:pPr>
      <w:r>
        <w:rPr>
          <w:rFonts w:ascii="Calibri" w:hAnsi="Calibri"/>
          <w:b/>
          <w:color w:val="1F4E78"/>
          <w:sz w:val="26"/>
        </w:rPr>
        <w:t>4.4.5 Graphical Presentation of Logistic Regression Odds Ratios</w:t>
      </w:r>
    </w:p>
    <w:p>
      <w:pPr>
        <w:spacing w:after="120" w:line="276" w:lineRule="auto"/>
        <w:jc w:val="left"/>
      </w:pPr>
      <w:r>
        <w:t>Figure 4.4 visually illustrates the estimated odds ratios and corresponding 95% confidence intervals for the factors included in the final binary logistic regression model. Point estimates to the left of the vertical reference line (OR = 1.0) indicate protective factors associated with reduced odds of poverty.</w:t>
      </w:r>
    </w:p>
    <w:p>
      <w:pPr>
        <w:spacing w:before="160" w:after="80"/>
        <w:jc w:val="center"/>
      </w:pPr>
      <w:r>
        <w:drawing>
          <wp:inline xmlns:a="http://schemas.openxmlformats.org/drawingml/2006/main" xmlns:pic="http://schemas.openxmlformats.org/drawingml/2006/picture">
            <wp:extent cx="5669280" cy="2461048"/>
            <wp:docPr id="1" name="Picture 1"/>
            <wp:cNvGraphicFramePr>
              <a:graphicFrameLocks noChangeAspect="1"/>
            </wp:cNvGraphicFramePr>
            <a:graphic>
              <a:graphicData uri="http://schemas.openxmlformats.org/drawingml/2006/picture">
                <pic:pic>
                  <pic:nvPicPr>
                    <pic:cNvPr id="0" name="Figure_4_4_Odds_Ratios_Factors_Poverty.png"/>
                    <pic:cNvPicPr/>
                  </pic:nvPicPr>
                  <pic:blipFill>
                    <a:blip r:embed="rId9"/>
                    <a:stretch>
                      <a:fillRect/>
                    </a:stretch>
                  </pic:blipFill>
                  <pic:spPr>
                    <a:xfrm>
                      <a:off x="0" y="0"/>
                      <a:ext cx="5669280" cy="2461048"/>
                    </a:xfrm>
                    <a:prstGeom prst="rect"/>
                  </pic:spPr>
                </pic:pic>
              </a:graphicData>
            </a:graphic>
          </wp:inline>
        </w:drawing>
      </w:r>
    </w:p>
    <w:p>
      <w:pPr>
        <w:spacing w:after="240"/>
        <w:jc w:val="center"/>
      </w:pPr>
      <w:r>
        <w:rPr>
          <w:b/>
          <w:sz w:val="20"/>
        </w:rPr>
        <w:t>Figure 4.4: Odds Ratios of Factors Associated with Poverty Status among Yam Farmers (Log Scale, 95% CIs)</w:t>
        <w:br/>
        <w:t>Source: Field Survey Data Analysis, 2026.</w:t>
      </w:r>
    </w:p>
    <w:p>
      <w:pPr>
        <w:keepNext/>
        <w:spacing w:before="220" w:after="80"/>
      </w:pPr>
      <w:r>
        <w:rPr>
          <w:rFonts w:ascii="Calibri" w:hAnsi="Calibri"/>
          <w:b/>
          <w:color w:val="1F4E78"/>
          <w:sz w:val="26"/>
        </w:rPr>
        <w:t>4.4.6 Methodological Limitations and Non-Causal Framework</w:t>
      </w:r>
    </w:p>
    <w:p>
      <w:pPr>
        <w:spacing w:after="120" w:line="276" w:lineRule="auto"/>
        <w:jc w:val="left"/>
      </w:pPr>
      <w:r>
        <w:rPr>
          <w:b/>
          <w:color w:val="1F4E78"/>
        </w:rPr>
        <w:t xml:space="preserve">Analytical Considerations: </w:t>
      </w:r>
      <w:r>
        <w:t>In reporting these empirical findings, two key analytical constraints must be explicitly acknowledged:</w:t>
      </w:r>
    </w:p>
    <w:p>
      <w:pPr>
        <w:spacing w:after="120" w:line="276" w:lineRule="auto"/>
        <w:jc w:val="left"/>
      </w:pPr>
      <w:r>
        <w:rPr>
          <w:b/>
          <w:color w:val="1F4E78"/>
        </w:rPr>
        <w:t xml:space="preserve">1. Association vs. Causation: </w:t>
      </w:r>
      <w:r>
        <w:t>Because this study utilizes a cross-sectional questionnaire survey design, all observed statistical relationships represent empirical associations rather than direct causal mechanisms. It cannot be definitively inferred that acquiring credit causes poverty reduction; rather, access to credit is significantly associated with non-poor socio-economic status among yam farming households.</w:t>
      </w:r>
    </w:p>
    <w:p>
      <w:pPr>
        <w:spacing w:after="120" w:line="276" w:lineRule="auto"/>
        <w:jc w:val="left"/>
      </w:pPr>
      <w:r>
        <w:rPr>
          <w:b/>
          <w:color w:val="1F4E78"/>
        </w:rPr>
        <w:t xml:space="preserve">2. Sample Size and Event Constraints: </w:t>
      </w:r>
      <w:r>
        <w:t>The total sample size of N = 60 households and the presence of 13 poverty events impose inherent constraints on multivariable modeling. While the parsimonious two-predictor model is statistically valid, fully converged, and robust, certain agricultural variables (such as extension contact, modern tools, and improved varieties) could not be reliably estimated in standard multivariable regression due to zero-cell separation and extreme category sparsity.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