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4E78"/>
          <w:sz w:val="32"/>
        </w:rPr>
        <w:t>Objective II Comprehensive Reconciliation and Validation Report</w:t>
      </w:r>
    </w:p>
    <w:p>
      <w:pPr>
        <w:spacing w:after="120" w:line="276" w:lineRule="auto"/>
      </w:pPr>
      <w:r>
        <w:t>Research Project: Analysis of Poverty Status of Yam Farmers in Akpabuyo Local Government Area, Cross River State, Nigeria.</w:t>
      </w:r>
    </w:p>
    <w:p>
      <w:pPr>
        <w:keepNext/>
        <w:spacing w:before="220" w:after="80"/>
      </w:pPr>
      <w:r>
        <w:rPr>
          <w:rFonts w:ascii="Calibri" w:hAnsi="Calibri"/>
          <w:b/>
          <w:color w:val="1F4E78"/>
          <w:sz w:val="26"/>
        </w:rPr>
        <w:t>1. Executive Summary</w:t>
      </w:r>
    </w:p>
    <w:p>
      <w:pPr>
        <w:spacing w:after="120" w:line="276" w:lineRule="auto"/>
      </w:pPr>
      <w:r>
        <w:t>This technical report documents the complete validation and methodological extension of Specific Objective II: 'Analyse factors influencing poverty such as age, education, household size, access to credit, technology adoption, and membership to cooperative.' All six approved factors have been mapped, verified against the raw dataset (N = 60), evaluated through descriptive metrics and bivariate association tests, and reconciled with the existing Chapter Four analysis.</w:t>
      </w:r>
    </w:p>
    <w:p>
      <w:pPr>
        <w:keepNext/>
        <w:spacing w:before="220" w:after="80"/>
      </w:pPr>
      <w:r>
        <w:rPr>
          <w:rFonts w:ascii="Calibri" w:hAnsi="Calibri"/>
          <w:b/>
          <w:color w:val="1F4E78"/>
          <w:sz w:val="26"/>
        </w:rPr>
        <w:t>2. Analytical Framework of Objective II: Two Distinct Levels</w:t>
      </w:r>
    </w:p>
    <w:p>
      <w:pPr>
        <w:spacing w:after="120" w:line="276" w:lineRule="auto"/>
      </w:pPr>
      <w:r>
        <w:rPr>
          <w:b/>
          <w:color w:val="1F4E78"/>
        </w:rPr>
        <w:t xml:space="preserve">Two-Level Structure: </w:t>
      </w:r>
      <w:r>
        <w:t>Objective II is answered through two complementary analytical levels:</w:t>
      </w:r>
    </w:p>
    <w:p>
      <w:pPr>
        <w:spacing w:after="120" w:line="276" w:lineRule="auto"/>
      </w:pPr>
      <w:r>
        <w:t>• Level 1 — Objective-Specific Bivariate Analysis: All six factors specified in Objective II (Age, Education, Household Size, Access to Credit, Technology Adoption [3 indicators], and Cooperative Membership) alongside key agricultural assets (Total Farm Size, Yam Area, Extension Contact) are directly analysed against poverty status in Table 4.9.</w:t>
      </w:r>
    </w:p>
    <w:p>
      <w:pPr>
        <w:spacing w:after="120" w:line="276" w:lineRule="auto"/>
      </w:pPr>
      <w:r>
        <w:t>• Level 2 — Parsimonious Multivariable Analysis: A separate, complementary logistic regression model (Table 4.10) containing Total Farm Size and Access to Credit is retained to examine joint associations under the small-event constraint (13 poverty events), rather than forcing an unstable full model.</w:t>
      </w:r>
    </w:p>
    <w:p>
      <w:pPr>
        <w:keepNext/>
        <w:spacing w:before="220" w:after="80"/>
      </w:pPr>
      <w:r>
        <w:rPr>
          <w:rFonts w:ascii="Calibri" w:hAnsi="Calibri"/>
          <w:b/>
          <w:color w:val="1F4E78"/>
          <w:sz w:val="26"/>
        </w:rPr>
        <w:t>3. Summary of Bivariate Findings across Objective II Factors</w:t>
      </w:r>
    </w:p>
    <w:p>
      <w:pPr>
        <w:spacing w:after="120" w:line="276" w:lineRule="auto"/>
      </w:pPr>
      <w:r>
        <w:t>• Age of Farmer: Poor farmers had significantly higher ages than non-poor farmers (mean = 51.31 ± 8.99 vs. 44.57 ± 8.04 years; Mann–Whitney U = 432.00, p = 0.024; Welch t = 2.443, p = 0.025).</w:t>
      </w:r>
    </w:p>
    <w:p>
      <w:pPr>
        <w:spacing w:after="120" w:line="276" w:lineRule="auto"/>
      </w:pPr>
      <w:r>
        <w:t>• Household Size: Poor households had significantly larger household sizes than non-poor households (mean = 8.31 ± 1.70 vs. 5.66 ± 1.43 persons; Mann–Whitney U = 536.00, p &lt; 0.001; Welch t = 5.129, p &lt; 0.001). Cautious interpretation is noted because household size is the denominator used in calculating per-capita household expenditure, which subsequently determines poverty classification. Consequently, the observed association between household size and poverty status may partly reflect the mathematical construction of the welfare measure rather than an independent socioeconomic effect.</w:t>
      </w:r>
    </w:p>
    <w:p>
      <w:pPr>
        <w:spacing w:after="120" w:line="276" w:lineRule="auto"/>
      </w:pPr>
      <w:r>
        <w:t>• Educational Attainment: Did not show statistically significant differences across poverty status (Pearson χ² = 2.673, df = 2, p = 0.263; Primary: 38.5% poor vs. 27.7% non-poor; Secondary: 53.8% poor vs. 42.6% non-poor; Tertiary: 7.7% poor vs. 29.8% non-poor).</w:t>
      </w:r>
    </w:p>
    <w:p>
      <w:pPr>
        <w:spacing w:after="120" w:line="276" w:lineRule="auto"/>
      </w:pPr>
      <w:r>
        <w:t>• Access to Credit: Highly significant protective association (Pearson χ² = 9.820, df = 1, p = 0.002; 61.7% non-poor vs. 7.7% poor).</w:t>
      </w:r>
    </w:p>
    <w:p>
      <w:pPr>
        <w:spacing w:after="120" w:line="276" w:lineRule="auto"/>
      </w:pPr>
      <w:r>
        <w:t>• Extension Contact: None of the poor respondents reported contact with an extension agent during the preceding 12 months, compared with 44.7% of non-poor respondents (Fisher's exact p = 0.002).</w:t>
      </w:r>
    </w:p>
    <w:p>
      <w:pPr>
        <w:spacing w:after="120" w:line="276" w:lineRule="auto"/>
      </w:pPr>
      <w:r>
        <w:t>• Technology Adoption: Evaluated via 3 distinct indicators: Improved varieties (Fisher p = 1.000), Fertilizer/manure (Pearson χ² = 0.497, p = 0.481), Modern tools (Fisher p = 0.324).</w:t>
      </w:r>
    </w:p>
    <w:p>
      <w:pPr>
        <w:spacing w:after="120" w:line="276" w:lineRule="auto"/>
      </w:pPr>
      <w:r>
        <w:t>• Cooperative Membership: High across both groups and not statistically significant (Pearson χ² = 0.009, p = 0.925; 83.0% non-poor vs. 76.9% poor).</w:t>
      </w:r>
    </w:p>
    <w:p>
      <w:pPr>
        <w:keepNext/>
        <w:spacing w:before="220" w:after="80"/>
      </w:pPr>
      <w:r>
        <w:rPr>
          <w:rFonts w:ascii="Calibri" w:hAnsi="Calibri"/>
          <w:b/>
          <w:color w:val="1F4E78"/>
          <w:sz w:val="26"/>
        </w:rPr>
        <w:t>4. Multivariable Model Justification</w:t>
      </w:r>
    </w:p>
    <w:p>
      <w:pPr>
        <w:spacing w:after="120" w:line="276" w:lineRule="auto"/>
      </w:pPr>
      <w:r>
        <w:t>Given the 13 poverty events in the sample, a parsimonious two-predictor model was retained to limit model complexity and reduce the risk of unstable estimates. Forcing all six factors into one multivariable model fails to converge under MLE due to zero cells in modern tools, improved varieties, and extension contact, while also introducing mechanical dependence with household size. The parsimonious model (Table 4.10: Total Farm Size + Access to Credit) remains fully defensible (LR χ² = 13.861, p = 0.001; Nagelkerke R² = 0.318; Credit OR = 0.074, p = 0.037; Firth sensitivity OR = 0.110, p = 0.039).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