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b/>
          <w:color w:val="1F4E78"/>
          <w:sz w:val="32"/>
        </w:rPr>
        <w:t>4.4 Factors Associated with Poverty Status among Yam Farmers (Objective II Complete Analysis)</w:t>
      </w:r>
    </w:p>
    <w:p>
      <w:pPr>
        <w:keepNext/>
        <w:spacing w:before="220" w:after="80"/>
      </w:pPr>
      <w:r>
        <w:rPr>
          <w:rFonts w:ascii="Calibri" w:hAnsi="Calibri"/>
          <w:b/>
          <w:color w:val="1F4E78"/>
          <w:sz w:val="26"/>
        </w:rPr>
        <w:t>4.4.1 Overview of Objective II and Evaluated Explanatory Factors</w:t>
      </w:r>
    </w:p>
    <w:p>
      <w:pPr>
        <w:spacing w:after="120" w:line="276" w:lineRule="auto"/>
        <w:jc w:val="left"/>
      </w:pPr>
      <w:r>
        <w:t>Specific Objective II of this research project seeks to analyse factors influencing poverty status among yam farming households in Akpabuyo Local Government Area of Cross River State, explicitly considering farmer age, educational attainment, household size, access to agricultural credit, technology adoption, and cooperative membership. In accordance with the baseline poverty classification established in Section 4.3 (Analysis 3), the dependent variable is binary household poverty status determined using the internationally recognized two-thirds mean Per-Capita Monthly Household Expenditure (PCHE) threshold of ₦13,526.02. Of the N = 60 sampled yam farmers, exactly 13 households (21.67%) were classified as poor (PCHE &lt; ₦13,526.02) and 47 households (78.33%) were classified as non-poor (PCHE ≥ ₦13,526.02).</w:t>
      </w:r>
    </w:p>
    <w:p>
      <w:pPr>
        <w:spacing w:after="120" w:line="276" w:lineRule="auto"/>
        <w:jc w:val="left"/>
      </w:pPr>
      <w:r>
        <w:t>To provide complete analytical coverage of Objective II while maintaining consistency with earlier descriptive chapters, eleven explanatory indicators across three distinct operational domains were evaluated: (1) Demographic and human capital characteristics (Age, Household size, and Educational level); (2) Land asset ownership (Total farm size and Area under yam cultivation); and (3) Institutional access, technology adoption, and social capital (Access to credit, Extension contact, Improved yam varieties, Fertilizer/manure application, Modern tools/technologies, and Cooperative membership). Technology adoption is operationalised across three individual questionnaire indicators (improved varieties, inorganic fertilizer/organic manure, and modern farm tools/technologies) to reflect the multi-faceted nature of smallholder agricultural technology adoption without imposing artificial indexing.</w:t>
      </w:r>
    </w:p>
    <w:p>
      <w:pPr>
        <w:keepNext/>
        <w:spacing w:before="220" w:after="80"/>
      </w:pPr>
      <w:r>
        <w:rPr>
          <w:rFonts w:ascii="Calibri" w:hAnsi="Calibri"/>
          <w:b/>
          <w:color w:val="1F4E78"/>
          <w:sz w:val="26"/>
        </w:rPr>
        <w:t>4.4.2 Descriptive Profiling and Bivariate Tests of Association</w:t>
      </w:r>
    </w:p>
    <w:p>
      <w:pPr>
        <w:spacing w:after="120" w:line="276" w:lineRule="auto"/>
        <w:jc w:val="left"/>
      </w:pPr>
      <w:r>
        <w:t>Table 4.9 presents the comprehensive descriptive comparison and single-primary bivariate hypothesis tests for all eleven factors across poor households (n = 13), non-poor households (n = 47), and the overall sample (N = 60). In line with rigorous statistical reporting protocols, continuous variables with non-normal or skewed distributions were evaluated using the non-parametric Mann–Whitney U test. Categorical variables were assessed using Pearson's chi-square test where expected cell frequencies were 5 or greater, and Fisher's exact test where expected cell frequencies fell below 5.</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560"/>
            <w:shd w:fill="1F4E78"/>
          </w:tcPr>
          <w:p>
            <w:pPr>
              <w:jc w:val="center"/>
            </w:pPr>
            <w:r>
              <w:rPr>
                <w:rFonts w:ascii="Calibri" w:hAnsi="Calibri"/>
                <w:b/>
                <w:color w:val="FFFFFF"/>
                <w:sz w:val="20"/>
              </w:rPr>
              <w:t>Factor / Variable</w:t>
            </w:r>
          </w:p>
        </w:tc>
        <w:tc>
          <w:tcPr>
            <w:tcW w:type="dxa" w:w="1560"/>
            <w:shd w:fill="1F4E78"/>
          </w:tcPr>
          <w:p>
            <w:pPr>
              <w:jc w:val="center"/>
            </w:pPr>
            <w:r>
              <w:rPr>
                <w:rFonts w:ascii="Calibri" w:hAnsi="Calibri"/>
                <w:b/>
                <w:color w:val="FFFFFF"/>
                <w:sz w:val="20"/>
              </w:rPr>
              <w:t>Poor (n = 13)</w:t>
            </w:r>
          </w:p>
        </w:tc>
        <w:tc>
          <w:tcPr>
            <w:tcW w:type="dxa" w:w="1560"/>
            <w:shd w:fill="1F4E78"/>
          </w:tcPr>
          <w:p>
            <w:pPr>
              <w:jc w:val="center"/>
            </w:pPr>
            <w:r>
              <w:rPr>
                <w:rFonts w:ascii="Calibri" w:hAnsi="Calibri"/>
                <w:b/>
                <w:color w:val="FFFFFF"/>
                <w:sz w:val="20"/>
              </w:rPr>
              <w:t>Non-poor (n = 47)</w:t>
            </w:r>
          </w:p>
        </w:tc>
        <w:tc>
          <w:tcPr>
            <w:tcW w:type="dxa" w:w="1560"/>
            <w:shd w:fill="1F4E78"/>
          </w:tcPr>
          <w:p>
            <w:pPr>
              <w:jc w:val="center"/>
            </w:pPr>
            <w:r>
              <w:rPr>
                <w:rFonts w:ascii="Calibri" w:hAnsi="Calibri"/>
                <w:b/>
                <w:color w:val="FFFFFF"/>
                <w:sz w:val="20"/>
              </w:rPr>
              <w:t>Overall (N = 60)</w:t>
            </w:r>
          </w:p>
        </w:tc>
        <w:tc>
          <w:tcPr>
            <w:tcW w:type="dxa" w:w="1560"/>
            <w:shd w:fill="1F4E78"/>
          </w:tcPr>
          <w:p>
            <w:pPr>
              <w:jc w:val="center"/>
            </w:pPr>
            <w:r>
              <w:rPr>
                <w:rFonts w:ascii="Calibri" w:hAnsi="Calibri"/>
                <w:b/>
                <w:color w:val="FFFFFF"/>
                <w:sz w:val="20"/>
              </w:rPr>
              <w:t>Statistical Test</w:t>
            </w:r>
          </w:p>
        </w:tc>
        <w:tc>
          <w:tcPr>
            <w:tcW w:type="dxa" w:w="1560"/>
            <w:shd w:fill="1F4E78"/>
          </w:tcPr>
          <w:p>
            <w:pPr>
              <w:jc w:val="center"/>
            </w:pPr>
            <w:r>
              <w:rPr>
                <w:rFonts w:ascii="Calibri" w:hAnsi="Calibri"/>
                <w:b/>
                <w:color w:val="FFFFFF"/>
                <w:sz w:val="20"/>
              </w:rPr>
              <w:t>p-value</w:t>
            </w:r>
          </w:p>
        </w:tc>
      </w:tr>
      <w:tr>
        <w:tc>
          <w:tcPr>
            <w:tcW w:type="dxa" w:w="1560"/>
            <w:shd w:fill="D9E1F2"/>
          </w:tcPr>
          <w:p>
            <w:pPr>
              <w:jc w:val="left"/>
            </w:pPr>
            <w:r>
              <w:rPr>
                <w:rFonts w:ascii="Calibri" w:hAnsi="Calibri"/>
                <w:b/>
                <w:sz w:val="19"/>
              </w:rPr>
              <w:t>A. Demographic &amp; Human Capital Factors</w:t>
            </w:r>
          </w:p>
        </w:tc>
        <w:tc>
          <w:tcPr>
            <w:tcW w:type="dxa" w:w="1560"/>
            <w:shd w:fill="D9E1F2"/>
          </w:tcPr>
          <w:p>
            <w:pPr>
              <w:jc w:val="center"/>
            </w:pPr>
            <w:r>
              <w:rPr>
                <w:rFonts w:ascii="Calibri" w:hAnsi="Calibri"/>
                <w:b/>
                <w:sz w:val="19"/>
              </w:rPr>
            </w:r>
          </w:p>
        </w:tc>
        <w:tc>
          <w:tcPr>
            <w:tcW w:type="dxa" w:w="1560"/>
            <w:shd w:fill="D9E1F2"/>
          </w:tcPr>
          <w:p>
            <w:pPr>
              <w:jc w:val="center"/>
            </w:pPr>
            <w:r>
              <w:rPr>
                <w:rFonts w:ascii="Calibri" w:hAnsi="Calibri"/>
                <w:b/>
                <w:sz w:val="19"/>
              </w:rPr>
            </w:r>
          </w:p>
        </w:tc>
        <w:tc>
          <w:tcPr>
            <w:tcW w:type="dxa" w:w="1560"/>
            <w:shd w:fill="D9E1F2"/>
          </w:tcPr>
          <w:p>
            <w:pPr>
              <w:jc w:val="center"/>
            </w:pPr>
            <w:r>
              <w:rPr>
                <w:rFonts w:ascii="Calibri" w:hAnsi="Calibri"/>
                <w:b/>
                <w:sz w:val="19"/>
              </w:rPr>
            </w:r>
          </w:p>
        </w:tc>
        <w:tc>
          <w:tcPr>
            <w:tcW w:type="dxa" w:w="1560"/>
            <w:shd w:fill="D9E1F2"/>
          </w:tcPr>
          <w:p>
            <w:pPr>
              <w:jc w:val="center"/>
            </w:pPr>
            <w:r>
              <w:rPr>
                <w:rFonts w:ascii="Calibri" w:hAnsi="Calibri"/>
                <w:b/>
                <w:sz w:val="19"/>
              </w:rPr>
            </w:r>
          </w:p>
        </w:tc>
        <w:tc>
          <w:tcPr>
            <w:tcW w:type="dxa" w:w="1560"/>
            <w:shd w:fill="D9E1F2"/>
          </w:tcPr>
          <w:p>
            <w:pPr>
              <w:jc w:val="center"/>
            </w:pPr>
            <w:r>
              <w:rPr>
                <w:rFonts w:ascii="Calibri" w:hAnsi="Calibri"/>
                <w:b/>
                <w:sz w:val="19"/>
              </w:rPr>
            </w:r>
          </w:p>
        </w:tc>
      </w:tr>
      <w:tr>
        <w:tc>
          <w:tcPr>
            <w:tcW w:type="dxa" w:w="1560"/>
          </w:tcPr>
          <w:p>
            <w:pPr>
              <w:jc w:val="left"/>
            </w:pPr>
            <w:r>
              <w:rPr>
                <w:rFonts w:ascii="Calibri" w:hAnsi="Calibri"/>
                <w:b w:val="0"/>
                <w:sz w:val="19"/>
              </w:rPr>
              <w:t>1. Age of farmer (years)</w:t>
            </w:r>
          </w:p>
        </w:tc>
        <w:tc>
          <w:tcPr>
            <w:tcW w:type="dxa" w:w="1560"/>
          </w:tcPr>
          <w:p>
            <w:pPr>
              <w:jc w:val="center"/>
            </w:pPr>
            <w:r>
              <w:rPr>
                <w:rFonts w:ascii="Calibri" w:hAnsi="Calibri"/>
                <w:b w:val="0"/>
                <w:sz w:val="19"/>
              </w:rPr>
              <w:t>51.31 ± 8.99</w:t>
            </w:r>
          </w:p>
        </w:tc>
        <w:tc>
          <w:tcPr>
            <w:tcW w:type="dxa" w:w="1560"/>
          </w:tcPr>
          <w:p>
            <w:pPr>
              <w:jc w:val="center"/>
            </w:pPr>
            <w:r>
              <w:rPr>
                <w:rFonts w:ascii="Calibri" w:hAnsi="Calibri"/>
                <w:b w:val="0"/>
                <w:sz w:val="19"/>
              </w:rPr>
              <w:t>44.57 ± 8.04</w:t>
            </w:r>
          </w:p>
        </w:tc>
        <w:tc>
          <w:tcPr>
            <w:tcW w:type="dxa" w:w="1560"/>
          </w:tcPr>
          <w:p>
            <w:pPr>
              <w:jc w:val="center"/>
            </w:pPr>
            <w:r>
              <w:rPr>
                <w:rFonts w:ascii="Calibri" w:hAnsi="Calibri"/>
                <w:b w:val="0"/>
                <w:sz w:val="19"/>
              </w:rPr>
              <w:t>46.03 ± 8.64</w:t>
            </w:r>
          </w:p>
        </w:tc>
        <w:tc>
          <w:tcPr>
            <w:tcW w:type="dxa" w:w="1560"/>
          </w:tcPr>
          <w:p>
            <w:pPr>
              <w:jc w:val="center"/>
            </w:pPr>
            <w:r>
              <w:rPr>
                <w:rFonts w:ascii="Calibri" w:hAnsi="Calibri"/>
                <w:b w:val="0"/>
                <w:sz w:val="19"/>
              </w:rPr>
              <w:t>Mann–Whitney U = 432.00</w:t>
            </w:r>
          </w:p>
        </w:tc>
        <w:tc>
          <w:tcPr>
            <w:tcW w:type="dxa" w:w="1560"/>
          </w:tcPr>
          <w:p>
            <w:pPr>
              <w:jc w:val="center"/>
            </w:pPr>
            <w:r>
              <w:rPr>
                <w:rFonts w:ascii="Calibri" w:hAnsi="Calibri"/>
                <w:b w:val="0"/>
                <w:sz w:val="19"/>
              </w:rPr>
              <w:t>0.024*</w:t>
            </w:r>
          </w:p>
        </w:tc>
      </w:tr>
      <w:tr>
        <w:tc>
          <w:tcPr>
            <w:tcW w:type="dxa" w:w="1560"/>
          </w:tcPr>
          <w:p>
            <w:pPr>
              <w:jc w:val="left"/>
            </w:pPr>
            <w:r>
              <w:rPr>
                <w:rFonts w:ascii="Calibri" w:hAnsi="Calibri"/>
                <w:b w:val="0"/>
                <w:sz w:val="19"/>
              </w:rPr>
              <w:t>2. Household size (persons)</w:t>
            </w:r>
          </w:p>
        </w:tc>
        <w:tc>
          <w:tcPr>
            <w:tcW w:type="dxa" w:w="1560"/>
          </w:tcPr>
          <w:p>
            <w:pPr>
              <w:jc w:val="center"/>
            </w:pPr>
            <w:r>
              <w:rPr>
                <w:rFonts w:ascii="Calibri" w:hAnsi="Calibri"/>
                <w:b w:val="0"/>
                <w:sz w:val="19"/>
              </w:rPr>
              <w:t>8.31 ± 1.70</w:t>
            </w:r>
          </w:p>
        </w:tc>
        <w:tc>
          <w:tcPr>
            <w:tcW w:type="dxa" w:w="1560"/>
          </w:tcPr>
          <w:p>
            <w:pPr>
              <w:jc w:val="center"/>
            </w:pPr>
            <w:r>
              <w:rPr>
                <w:rFonts w:ascii="Calibri" w:hAnsi="Calibri"/>
                <w:b w:val="0"/>
                <w:sz w:val="19"/>
              </w:rPr>
              <w:t>5.66 ± 1.43</w:t>
            </w:r>
          </w:p>
        </w:tc>
        <w:tc>
          <w:tcPr>
            <w:tcW w:type="dxa" w:w="1560"/>
          </w:tcPr>
          <w:p>
            <w:pPr>
              <w:jc w:val="center"/>
            </w:pPr>
            <w:r>
              <w:rPr>
                <w:rFonts w:ascii="Calibri" w:hAnsi="Calibri"/>
                <w:b w:val="0"/>
                <w:sz w:val="19"/>
              </w:rPr>
              <w:t>6.23 ± 1.84</w:t>
            </w:r>
          </w:p>
        </w:tc>
        <w:tc>
          <w:tcPr>
            <w:tcW w:type="dxa" w:w="1560"/>
          </w:tcPr>
          <w:p>
            <w:pPr>
              <w:jc w:val="center"/>
            </w:pPr>
            <w:r>
              <w:rPr>
                <w:rFonts w:ascii="Calibri" w:hAnsi="Calibri"/>
                <w:b w:val="0"/>
                <w:sz w:val="19"/>
              </w:rPr>
              <w:t>Mann–Whitney U = 536.00</w:t>
            </w:r>
          </w:p>
        </w:tc>
        <w:tc>
          <w:tcPr>
            <w:tcW w:type="dxa" w:w="1560"/>
          </w:tcPr>
          <w:p>
            <w:pPr>
              <w:jc w:val="center"/>
            </w:pPr>
            <w:r>
              <w:rPr>
                <w:rFonts w:ascii="Calibri" w:hAnsi="Calibri"/>
                <w:b w:val="0"/>
                <w:sz w:val="19"/>
              </w:rPr>
              <w:t>&lt; 0.001*</w:t>
            </w:r>
          </w:p>
        </w:tc>
      </w:tr>
      <w:tr>
        <w:tc>
          <w:tcPr>
            <w:tcW w:type="dxa" w:w="1560"/>
          </w:tcPr>
          <w:p>
            <w:pPr>
              <w:jc w:val="left"/>
            </w:pPr>
            <w:r>
              <w:rPr>
                <w:rFonts w:ascii="Calibri" w:hAnsi="Calibri"/>
                <w:b w:val="0"/>
                <w:sz w:val="19"/>
              </w:rPr>
              <w:t>3. Educational attainment</w:t>
            </w:r>
          </w:p>
        </w:tc>
        <w:tc>
          <w:tcPr>
            <w:tcW w:type="dxa" w:w="1560"/>
          </w:tcPr>
          <w:p>
            <w:pPr>
              <w:jc w:val="center"/>
            </w:pPr>
            <w:r>
              <w:rPr>
                <w:rFonts w:ascii="Calibri" w:hAnsi="Calibri"/>
                <w:b w:val="0"/>
                <w:sz w:val="19"/>
              </w:rPr>
            </w:r>
          </w:p>
        </w:tc>
        <w:tc>
          <w:tcPr>
            <w:tcW w:type="dxa" w:w="1560"/>
          </w:tcPr>
          <w:p>
            <w:pPr>
              <w:jc w:val="center"/>
            </w:pPr>
            <w:r>
              <w:rPr>
                <w:rFonts w:ascii="Calibri" w:hAnsi="Calibri"/>
                <w:b w:val="0"/>
                <w:sz w:val="19"/>
              </w:rPr>
            </w:r>
          </w:p>
        </w:tc>
        <w:tc>
          <w:tcPr>
            <w:tcW w:type="dxa" w:w="1560"/>
          </w:tcPr>
          <w:p>
            <w:pPr>
              <w:jc w:val="center"/>
            </w:pPr>
            <w:r>
              <w:rPr>
                <w:rFonts w:ascii="Calibri" w:hAnsi="Calibri"/>
                <w:b w:val="0"/>
                <w:sz w:val="19"/>
              </w:rPr>
            </w:r>
          </w:p>
        </w:tc>
        <w:tc>
          <w:tcPr>
            <w:tcW w:type="dxa" w:w="1560"/>
          </w:tcPr>
          <w:p>
            <w:pPr>
              <w:jc w:val="center"/>
            </w:pPr>
            <w:r>
              <w:rPr>
                <w:rFonts w:ascii="Calibri" w:hAnsi="Calibri"/>
                <w:b w:val="0"/>
                <w:sz w:val="19"/>
              </w:rPr>
              <w:t>Pearson χ² = 2.673 (df=2)</w:t>
            </w:r>
          </w:p>
        </w:tc>
        <w:tc>
          <w:tcPr>
            <w:tcW w:type="dxa" w:w="1560"/>
          </w:tcPr>
          <w:p>
            <w:pPr>
              <w:jc w:val="center"/>
            </w:pPr>
            <w:r>
              <w:rPr>
                <w:rFonts w:ascii="Calibri" w:hAnsi="Calibri"/>
                <w:b w:val="0"/>
                <w:sz w:val="19"/>
              </w:rPr>
              <w:t>0.263</w:t>
            </w:r>
          </w:p>
        </w:tc>
      </w:tr>
      <w:tr>
        <w:tc>
          <w:tcPr>
            <w:tcW w:type="dxa" w:w="1560"/>
          </w:tcPr>
          <w:p>
            <w:pPr>
              <w:jc w:val="left"/>
            </w:pPr>
            <w:r>
              <w:rPr>
                <w:rFonts w:ascii="Calibri" w:hAnsi="Calibri"/>
                <w:b w:val="0"/>
                <w:sz w:val="19"/>
              </w:rPr>
              <w:t xml:space="preserve">   - Primary education (6 yrs)</w:t>
            </w:r>
          </w:p>
        </w:tc>
        <w:tc>
          <w:tcPr>
            <w:tcW w:type="dxa" w:w="1560"/>
          </w:tcPr>
          <w:p>
            <w:pPr>
              <w:jc w:val="center"/>
            </w:pPr>
            <w:r>
              <w:rPr>
                <w:rFonts w:ascii="Calibri" w:hAnsi="Calibri"/>
                <w:b w:val="0"/>
                <w:sz w:val="19"/>
              </w:rPr>
              <w:t>5 (38.5%)</w:t>
            </w:r>
          </w:p>
        </w:tc>
        <w:tc>
          <w:tcPr>
            <w:tcW w:type="dxa" w:w="1560"/>
          </w:tcPr>
          <w:p>
            <w:pPr>
              <w:jc w:val="center"/>
            </w:pPr>
            <w:r>
              <w:rPr>
                <w:rFonts w:ascii="Calibri" w:hAnsi="Calibri"/>
                <w:b w:val="0"/>
                <w:sz w:val="19"/>
              </w:rPr>
              <w:t>13 (27.7%)</w:t>
            </w:r>
          </w:p>
        </w:tc>
        <w:tc>
          <w:tcPr>
            <w:tcW w:type="dxa" w:w="1560"/>
          </w:tcPr>
          <w:p>
            <w:pPr>
              <w:jc w:val="center"/>
            </w:pPr>
            <w:r>
              <w:rPr>
                <w:rFonts w:ascii="Calibri" w:hAnsi="Calibri"/>
                <w:b w:val="0"/>
                <w:sz w:val="19"/>
              </w:rPr>
              <w:t>18 (30.0%)</w:t>
            </w:r>
          </w:p>
        </w:tc>
        <w:tc>
          <w:tcPr>
            <w:tcW w:type="dxa" w:w="1560"/>
          </w:tcPr>
          <w:p>
            <w:pPr>
              <w:jc w:val="center"/>
            </w:pPr>
            <w:r>
              <w:rPr>
                <w:rFonts w:ascii="Calibri" w:hAnsi="Calibri"/>
                <w:b w:val="0"/>
                <w:sz w:val="19"/>
              </w:rPr>
              <w:t>—</w:t>
            </w:r>
          </w:p>
        </w:tc>
        <w:tc>
          <w:tcPr>
            <w:tcW w:type="dxa" w:w="1560"/>
          </w:tcPr>
          <w:p>
            <w:pPr>
              <w:jc w:val="center"/>
            </w:pPr>
            <w:r>
              <w:rPr>
                <w:rFonts w:ascii="Calibri" w:hAnsi="Calibri"/>
                <w:b w:val="0"/>
                <w:sz w:val="19"/>
              </w:rPr>
              <w:t>—</w:t>
            </w:r>
          </w:p>
        </w:tc>
      </w:tr>
      <w:tr>
        <w:tc>
          <w:tcPr>
            <w:tcW w:type="dxa" w:w="1560"/>
          </w:tcPr>
          <w:p>
            <w:pPr>
              <w:jc w:val="left"/>
            </w:pPr>
            <w:r>
              <w:rPr>
                <w:rFonts w:ascii="Calibri" w:hAnsi="Calibri"/>
                <w:b w:val="0"/>
                <w:sz w:val="19"/>
              </w:rPr>
              <w:t xml:space="preserve">   - Secondary education (12 yrs)</w:t>
            </w:r>
          </w:p>
        </w:tc>
        <w:tc>
          <w:tcPr>
            <w:tcW w:type="dxa" w:w="1560"/>
          </w:tcPr>
          <w:p>
            <w:pPr>
              <w:jc w:val="center"/>
            </w:pPr>
            <w:r>
              <w:rPr>
                <w:rFonts w:ascii="Calibri" w:hAnsi="Calibri"/>
                <w:b w:val="0"/>
                <w:sz w:val="19"/>
              </w:rPr>
              <w:t>7 (53.8%)</w:t>
            </w:r>
          </w:p>
        </w:tc>
        <w:tc>
          <w:tcPr>
            <w:tcW w:type="dxa" w:w="1560"/>
          </w:tcPr>
          <w:p>
            <w:pPr>
              <w:jc w:val="center"/>
            </w:pPr>
            <w:r>
              <w:rPr>
                <w:rFonts w:ascii="Calibri" w:hAnsi="Calibri"/>
                <w:b w:val="0"/>
                <w:sz w:val="19"/>
              </w:rPr>
              <w:t>20 (42.6%)</w:t>
            </w:r>
          </w:p>
        </w:tc>
        <w:tc>
          <w:tcPr>
            <w:tcW w:type="dxa" w:w="1560"/>
          </w:tcPr>
          <w:p>
            <w:pPr>
              <w:jc w:val="center"/>
            </w:pPr>
            <w:r>
              <w:rPr>
                <w:rFonts w:ascii="Calibri" w:hAnsi="Calibri"/>
                <w:b w:val="0"/>
                <w:sz w:val="19"/>
              </w:rPr>
              <w:t>27 (45.0%)</w:t>
            </w:r>
          </w:p>
        </w:tc>
        <w:tc>
          <w:tcPr>
            <w:tcW w:type="dxa" w:w="1560"/>
          </w:tcPr>
          <w:p>
            <w:pPr>
              <w:jc w:val="center"/>
            </w:pPr>
            <w:r>
              <w:rPr>
                <w:rFonts w:ascii="Calibri" w:hAnsi="Calibri"/>
                <w:b w:val="0"/>
                <w:sz w:val="19"/>
              </w:rPr>
              <w:t>—</w:t>
            </w:r>
          </w:p>
        </w:tc>
        <w:tc>
          <w:tcPr>
            <w:tcW w:type="dxa" w:w="1560"/>
          </w:tcPr>
          <w:p>
            <w:pPr>
              <w:jc w:val="center"/>
            </w:pPr>
            <w:r>
              <w:rPr>
                <w:rFonts w:ascii="Calibri" w:hAnsi="Calibri"/>
                <w:b w:val="0"/>
                <w:sz w:val="19"/>
              </w:rPr>
              <w:t>—</w:t>
            </w:r>
          </w:p>
        </w:tc>
      </w:tr>
      <w:tr>
        <w:tc>
          <w:tcPr>
            <w:tcW w:type="dxa" w:w="1560"/>
          </w:tcPr>
          <w:p>
            <w:pPr>
              <w:jc w:val="left"/>
            </w:pPr>
            <w:r>
              <w:rPr>
                <w:rFonts w:ascii="Calibri" w:hAnsi="Calibri"/>
                <w:b w:val="0"/>
                <w:sz w:val="19"/>
              </w:rPr>
              <w:t xml:space="preserve">   - Tertiary education (16 yrs)</w:t>
            </w:r>
          </w:p>
        </w:tc>
        <w:tc>
          <w:tcPr>
            <w:tcW w:type="dxa" w:w="1560"/>
          </w:tcPr>
          <w:p>
            <w:pPr>
              <w:jc w:val="center"/>
            </w:pPr>
            <w:r>
              <w:rPr>
                <w:rFonts w:ascii="Calibri" w:hAnsi="Calibri"/>
                <w:b w:val="0"/>
                <w:sz w:val="19"/>
              </w:rPr>
              <w:t>1 (7.7%)</w:t>
            </w:r>
          </w:p>
        </w:tc>
        <w:tc>
          <w:tcPr>
            <w:tcW w:type="dxa" w:w="1560"/>
          </w:tcPr>
          <w:p>
            <w:pPr>
              <w:jc w:val="center"/>
            </w:pPr>
            <w:r>
              <w:rPr>
                <w:rFonts w:ascii="Calibri" w:hAnsi="Calibri"/>
                <w:b w:val="0"/>
                <w:sz w:val="19"/>
              </w:rPr>
              <w:t>14 (29.8%)</w:t>
            </w:r>
          </w:p>
        </w:tc>
        <w:tc>
          <w:tcPr>
            <w:tcW w:type="dxa" w:w="1560"/>
          </w:tcPr>
          <w:p>
            <w:pPr>
              <w:jc w:val="center"/>
            </w:pPr>
            <w:r>
              <w:rPr>
                <w:rFonts w:ascii="Calibri" w:hAnsi="Calibri"/>
                <w:b w:val="0"/>
                <w:sz w:val="19"/>
              </w:rPr>
              <w:t>15 (25.0%)</w:t>
            </w:r>
          </w:p>
        </w:tc>
        <w:tc>
          <w:tcPr>
            <w:tcW w:type="dxa" w:w="1560"/>
          </w:tcPr>
          <w:p>
            <w:pPr>
              <w:jc w:val="center"/>
            </w:pPr>
            <w:r>
              <w:rPr>
                <w:rFonts w:ascii="Calibri" w:hAnsi="Calibri"/>
                <w:b w:val="0"/>
                <w:sz w:val="19"/>
              </w:rPr>
              <w:t>—</w:t>
            </w:r>
          </w:p>
        </w:tc>
        <w:tc>
          <w:tcPr>
            <w:tcW w:type="dxa" w:w="1560"/>
          </w:tcPr>
          <w:p>
            <w:pPr>
              <w:jc w:val="center"/>
            </w:pPr>
            <w:r>
              <w:rPr>
                <w:rFonts w:ascii="Calibri" w:hAnsi="Calibri"/>
                <w:b w:val="0"/>
                <w:sz w:val="19"/>
              </w:rPr>
              <w:t>—</w:t>
            </w:r>
          </w:p>
        </w:tc>
      </w:tr>
      <w:tr>
        <w:tc>
          <w:tcPr>
            <w:tcW w:type="dxa" w:w="1560"/>
            <w:shd w:fill="D9E1F2"/>
          </w:tcPr>
          <w:p>
            <w:pPr>
              <w:jc w:val="left"/>
            </w:pPr>
            <w:r>
              <w:rPr>
                <w:rFonts w:ascii="Calibri" w:hAnsi="Calibri"/>
                <w:b/>
                <w:sz w:val="19"/>
              </w:rPr>
              <w:t>B. Land Holding &amp; Farm Size</w:t>
            </w:r>
          </w:p>
        </w:tc>
        <w:tc>
          <w:tcPr>
            <w:tcW w:type="dxa" w:w="1560"/>
            <w:shd w:fill="D9E1F2"/>
          </w:tcPr>
          <w:p>
            <w:pPr>
              <w:jc w:val="center"/>
            </w:pPr>
            <w:r>
              <w:rPr>
                <w:rFonts w:ascii="Calibri" w:hAnsi="Calibri"/>
                <w:b/>
                <w:sz w:val="19"/>
              </w:rPr>
            </w:r>
          </w:p>
        </w:tc>
        <w:tc>
          <w:tcPr>
            <w:tcW w:type="dxa" w:w="1560"/>
            <w:shd w:fill="D9E1F2"/>
          </w:tcPr>
          <w:p>
            <w:pPr>
              <w:jc w:val="center"/>
            </w:pPr>
            <w:r>
              <w:rPr>
                <w:rFonts w:ascii="Calibri" w:hAnsi="Calibri"/>
                <w:b/>
                <w:sz w:val="19"/>
              </w:rPr>
            </w:r>
          </w:p>
        </w:tc>
        <w:tc>
          <w:tcPr>
            <w:tcW w:type="dxa" w:w="1560"/>
            <w:shd w:fill="D9E1F2"/>
          </w:tcPr>
          <w:p>
            <w:pPr>
              <w:jc w:val="center"/>
            </w:pPr>
            <w:r>
              <w:rPr>
                <w:rFonts w:ascii="Calibri" w:hAnsi="Calibri"/>
                <w:b/>
                <w:sz w:val="19"/>
              </w:rPr>
            </w:r>
          </w:p>
        </w:tc>
        <w:tc>
          <w:tcPr>
            <w:tcW w:type="dxa" w:w="1560"/>
            <w:shd w:fill="D9E1F2"/>
          </w:tcPr>
          <w:p>
            <w:pPr>
              <w:jc w:val="center"/>
            </w:pPr>
            <w:r>
              <w:rPr>
                <w:rFonts w:ascii="Calibri" w:hAnsi="Calibri"/>
                <w:b/>
                <w:sz w:val="19"/>
              </w:rPr>
            </w:r>
          </w:p>
        </w:tc>
        <w:tc>
          <w:tcPr>
            <w:tcW w:type="dxa" w:w="1560"/>
            <w:shd w:fill="D9E1F2"/>
          </w:tcPr>
          <w:p>
            <w:pPr>
              <w:jc w:val="center"/>
            </w:pPr>
            <w:r>
              <w:rPr>
                <w:rFonts w:ascii="Calibri" w:hAnsi="Calibri"/>
                <w:b/>
                <w:sz w:val="19"/>
              </w:rPr>
            </w:r>
          </w:p>
        </w:tc>
      </w:tr>
      <w:tr>
        <w:tc>
          <w:tcPr>
            <w:tcW w:type="dxa" w:w="1560"/>
          </w:tcPr>
          <w:p>
            <w:pPr>
              <w:jc w:val="left"/>
            </w:pPr>
            <w:r>
              <w:rPr>
                <w:rFonts w:ascii="Calibri" w:hAnsi="Calibri"/>
                <w:b w:val="0"/>
                <w:sz w:val="19"/>
              </w:rPr>
              <w:t>4. Total farm size (hectares)</w:t>
            </w:r>
          </w:p>
        </w:tc>
        <w:tc>
          <w:tcPr>
            <w:tcW w:type="dxa" w:w="1560"/>
          </w:tcPr>
          <w:p>
            <w:pPr>
              <w:jc w:val="center"/>
            </w:pPr>
            <w:r>
              <w:rPr>
                <w:rFonts w:ascii="Calibri" w:hAnsi="Calibri"/>
                <w:b w:val="0"/>
                <w:sz w:val="19"/>
              </w:rPr>
              <w:t>1.98 ± 0.48</w:t>
            </w:r>
          </w:p>
        </w:tc>
        <w:tc>
          <w:tcPr>
            <w:tcW w:type="dxa" w:w="1560"/>
          </w:tcPr>
          <w:p>
            <w:pPr>
              <w:jc w:val="center"/>
            </w:pPr>
            <w:r>
              <w:rPr>
                <w:rFonts w:ascii="Calibri" w:hAnsi="Calibri"/>
                <w:b w:val="0"/>
                <w:sz w:val="19"/>
              </w:rPr>
              <w:t>2.56 ± 0.82</w:t>
            </w:r>
          </w:p>
        </w:tc>
        <w:tc>
          <w:tcPr>
            <w:tcW w:type="dxa" w:w="1560"/>
          </w:tcPr>
          <w:p>
            <w:pPr>
              <w:jc w:val="center"/>
            </w:pPr>
            <w:r>
              <w:rPr>
                <w:rFonts w:ascii="Calibri" w:hAnsi="Calibri"/>
                <w:b w:val="0"/>
                <w:sz w:val="19"/>
              </w:rPr>
              <w:t>2.43 ± 0.79</w:t>
            </w:r>
          </w:p>
        </w:tc>
        <w:tc>
          <w:tcPr>
            <w:tcW w:type="dxa" w:w="1560"/>
          </w:tcPr>
          <w:p>
            <w:pPr>
              <w:jc w:val="center"/>
            </w:pPr>
            <w:r>
              <w:rPr>
                <w:rFonts w:ascii="Calibri" w:hAnsi="Calibri"/>
                <w:b w:val="0"/>
                <w:sz w:val="19"/>
              </w:rPr>
              <w:t>Mann–Whitney U = 170.50</w:t>
            </w:r>
          </w:p>
        </w:tc>
        <w:tc>
          <w:tcPr>
            <w:tcW w:type="dxa" w:w="1560"/>
          </w:tcPr>
          <w:p>
            <w:pPr>
              <w:jc w:val="center"/>
            </w:pPr>
            <w:r>
              <w:rPr>
                <w:rFonts w:ascii="Calibri" w:hAnsi="Calibri"/>
                <w:b w:val="0"/>
                <w:sz w:val="19"/>
              </w:rPr>
              <w:t>0.016*</w:t>
            </w:r>
          </w:p>
        </w:tc>
      </w:tr>
      <w:tr>
        <w:tc>
          <w:tcPr>
            <w:tcW w:type="dxa" w:w="1560"/>
          </w:tcPr>
          <w:p>
            <w:pPr>
              <w:jc w:val="left"/>
            </w:pPr>
            <w:r>
              <w:rPr>
                <w:rFonts w:ascii="Calibri" w:hAnsi="Calibri"/>
                <w:b w:val="0"/>
                <w:sz w:val="19"/>
              </w:rPr>
              <w:t>5. Area under yam cultivation (hectares)</w:t>
            </w:r>
          </w:p>
        </w:tc>
        <w:tc>
          <w:tcPr>
            <w:tcW w:type="dxa" w:w="1560"/>
          </w:tcPr>
          <w:p>
            <w:pPr>
              <w:jc w:val="center"/>
            </w:pPr>
            <w:r>
              <w:rPr>
                <w:rFonts w:ascii="Calibri" w:hAnsi="Calibri"/>
                <w:b w:val="0"/>
                <w:sz w:val="19"/>
              </w:rPr>
              <w:t>1.43 ± 0.37</w:t>
            </w:r>
          </w:p>
        </w:tc>
        <w:tc>
          <w:tcPr>
            <w:tcW w:type="dxa" w:w="1560"/>
          </w:tcPr>
          <w:p>
            <w:pPr>
              <w:jc w:val="center"/>
            </w:pPr>
            <w:r>
              <w:rPr>
                <w:rFonts w:ascii="Calibri" w:hAnsi="Calibri"/>
                <w:b w:val="0"/>
                <w:sz w:val="19"/>
              </w:rPr>
              <w:t>1.73 ± 0.56</w:t>
            </w:r>
          </w:p>
        </w:tc>
        <w:tc>
          <w:tcPr>
            <w:tcW w:type="dxa" w:w="1560"/>
          </w:tcPr>
          <w:p>
            <w:pPr>
              <w:jc w:val="center"/>
            </w:pPr>
            <w:r>
              <w:rPr>
                <w:rFonts w:ascii="Calibri" w:hAnsi="Calibri"/>
                <w:b w:val="0"/>
                <w:sz w:val="19"/>
              </w:rPr>
              <w:t>1.67 ± 0.53</w:t>
            </w:r>
          </w:p>
        </w:tc>
        <w:tc>
          <w:tcPr>
            <w:tcW w:type="dxa" w:w="1560"/>
          </w:tcPr>
          <w:p>
            <w:pPr>
              <w:jc w:val="center"/>
            </w:pPr>
            <w:r>
              <w:rPr>
                <w:rFonts w:ascii="Calibri" w:hAnsi="Calibri"/>
                <w:b w:val="0"/>
                <w:sz w:val="19"/>
              </w:rPr>
              <w:t>Mann–Whitney U = 205.00</w:t>
            </w:r>
          </w:p>
        </w:tc>
        <w:tc>
          <w:tcPr>
            <w:tcW w:type="dxa" w:w="1560"/>
          </w:tcPr>
          <w:p>
            <w:pPr>
              <w:jc w:val="center"/>
            </w:pPr>
            <w:r>
              <w:rPr>
                <w:rFonts w:ascii="Calibri" w:hAnsi="Calibri"/>
                <w:b w:val="0"/>
                <w:sz w:val="19"/>
              </w:rPr>
              <w:t>0.071</w:t>
            </w:r>
          </w:p>
        </w:tc>
      </w:tr>
      <w:tr>
        <w:tc>
          <w:tcPr>
            <w:tcW w:type="dxa" w:w="1560"/>
            <w:shd w:fill="D9E1F2"/>
          </w:tcPr>
          <w:p>
            <w:pPr>
              <w:jc w:val="left"/>
            </w:pPr>
            <w:r>
              <w:rPr>
                <w:rFonts w:ascii="Calibri" w:hAnsi="Calibri"/>
                <w:b/>
                <w:sz w:val="19"/>
              </w:rPr>
              <w:t>C. Institutional Access, Technology &amp; Social Capital</w:t>
            </w:r>
          </w:p>
        </w:tc>
        <w:tc>
          <w:tcPr>
            <w:tcW w:type="dxa" w:w="1560"/>
            <w:shd w:fill="D9E1F2"/>
          </w:tcPr>
          <w:p>
            <w:pPr>
              <w:jc w:val="center"/>
            </w:pPr>
            <w:r>
              <w:rPr>
                <w:rFonts w:ascii="Calibri" w:hAnsi="Calibri"/>
                <w:b/>
                <w:sz w:val="19"/>
              </w:rPr>
            </w:r>
          </w:p>
        </w:tc>
        <w:tc>
          <w:tcPr>
            <w:tcW w:type="dxa" w:w="1560"/>
            <w:shd w:fill="D9E1F2"/>
          </w:tcPr>
          <w:p>
            <w:pPr>
              <w:jc w:val="center"/>
            </w:pPr>
            <w:r>
              <w:rPr>
                <w:rFonts w:ascii="Calibri" w:hAnsi="Calibri"/>
                <w:b/>
                <w:sz w:val="19"/>
              </w:rPr>
            </w:r>
          </w:p>
        </w:tc>
        <w:tc>
          <w:tcPr>
            <w:tcW w:type="dxa" w:w="1560"/>
            <w:shd w:fill="D9E1F2"/>
          </w:tcPr>
          <w:p>
            <w:pPr>
              <w:jc w:val="center"/>
            </w:pPr>
            <w:r>
              <w:rPr>
                <w:rFonts w:ascii="Calibri" w:hAnsi="Calibri"/>
                <w:b/>
                <w:sz w:val="19"/>
              </w:rPr>
            </w:r>
          </w:p>
        </w:tc>
        <w:tc>
          <w:tcPr>
            <w:tcW w:type="dxa" w:w="1560"/>
            <w:shd w:fill="D9E1F2"/>
          </w:tcPr>
          <w:p>
            <w:pPr>
              <w:jc w:val="center"/>
            </w:pPr>
            <w:r>
              <w:rPr>
                <w:rFonts w:ascii="Calibri" w:hAnsi="Calibri"/>
                <w:b/>
                <w:sz w:val="19"/>
              </w:rPr>
            </w:r>
          </w:p>
        </w:tc>
        <w:tc>
          <w:tcPr>
            <w:tcW w:type="dxa" w:w="1560"/>
            <w:shd w:fill="D9E1F2"/>
          </w:tcPr>
          <w:p>
            <w:pPr>
              <w:jc w:val="center"/>
            </w:pPr>
            <w:r>
              <w:rPr>
                <w:rFonts w:ascii="Calibri" w:hAnsi="Calibri"/>
                <w:b/>
                <w:sz w:val="19"/>
              </w:rPr>
            </w:r>
          </w:p>
        </w:tc>
      </w:tr>
      <w:tr>
        <w:tc>
          <w:tcPr>
            <w:tcW w:type="dxa" w:w="1560"/>
          </w:tcPr>
          <w:p>
            <w:pPr>
              <w:jc w:val="left"/>
            </w:pPr>
            <w:r>
              <w:rPr>
                <w:rFonts w:ascii="Calibri" w:hAnsi="Calibri"/>
                <w:b w:val="0"/>
                <w:sz w:val="19"/>
              </w:rPr>
              <w:t>6. Access to credit (Yes = 1)</w:t>
            </w:r>
          </w:p>
        </w:tc>
        <w:tc>
          <w:tcPr>
            <w:tcW w:type="dxa" w:w="1560"/>
          </w:tcPr>
          <w:p>
            <w:pPr>
              <w:jc w:val="center"/>
            </w:pPr>
            <w:r>
              <w:rPr>
                <w:rFonts w:ascii="Calibri" w:hAnsi="Calibri"/>
                <w:b w:val="0"/>
                <w:sz w:val="19"/>
              </w:rPr>
              <w:t>1 (7.7%)</w:t>
            </w:r>
          </w:p>
        </w:tc>
        <w:tc>
          <w:tcPr>
            <w:tcW w:type="dxa" w:w="1560"/>
          </w:tcPr>
          <w:p>
            <w:pPr>
              <w:jc w:val="center"/>
            </w:pPr>
            <w:r>
              <w:rPr>
                <w:rFonts w:ascii="Calibri" w:hAnsi="Calibri"/>
                <w:b w:val="0"/>
                <w:sz w:val="19"/>
              </w:rPr>
              <w:t>29 (61.7%)</w:t>
            </w:r>
          </w:p>
        </w:tc>
        <w:tc>
          <w:tcPr>
            <w:tcW w:type="dxa" w:w="1560"/>
          </w:tcPr>
          <w:p>
            <w:pPr>
              <w:jc w:val="center"/>
            </w:pPr>
            <w:r>
              <w:rPr>
                <w:rFonts w:ascii="Calibri" w:hAnsi="Calibri"/>
                <w:b w:val="0"/>
                <w:sz w:val="19"/>
              </w:rPr>
              <w:t>30 (50.0%)</w:t>
            </w:r>
          </w:p>
        </w:tc>
        <w:tc>
          <w:tcPr>
            <w:tcW w:type="dxa" w:w="1560"/>
          </w:tcPr>
          <w:p>
            <w:pPr>
              <w:jc w:val="center"/>
            </w:pPr>
            <w:r>
              <w:rPr>
                <w:rFonts w:ascii="Calibri" w:hAnsi="Calibri"/>
                <w:b w:val="0"/>
                <w:sz w:val="19"/>
              </w:rPr>
              <w:t>Pearson χ² = 9.820</w:t>
            </w:r>
          </w:p>
        </w:tc>
        <w:tc>
          <w:tcPr>
            <w:tcW w:type="dxa" w:w="1560"/>
          </w:tcPr>
          <w:p>
            <w:pPr>
              <w:jc w:val="center"/>
            </w:pPr>
            <w:r>
              <w:rPr>
                <w:rFonts w:ascii="Calibri" w:hAnsi="Calibri"/>
                <w:b w:val="0"/>
                <w:sz w:val="19"/>
              </w:rPr>
              <w:t>0.002*</w:t>
            </w:r>
          </w:p>
        </w:tc>
      </w:tr>
      <w:tr>
        <w:tc>
          <w:tcPr>
            <w:tcW w:type="dxa" w:w="1560"/>
          </w:tcPr>
          <w:p>
            <w:pPr>
              <w:jc w:val="left"/>
            </w:pPr>
            <w:r>
              <w:rPr>
                <w:rFonts w:ascii="Calibri" w:hAnsi="Calibri"/>
                <w:b w:val="0"/>
                <w:sz w:val="19"/>
              </w:rPr>
              <w:t>7. Agricultural extension contact (Yes = 1)</w:t>
            </w:r>
          </w:p>
        </w:tc>
        <w:tc>
          <w:tcPr>
            <w:tcW w:type="dxa" w:w="1560"/>
          </w:tcPr>
          <w:p>
            <w:pPr>
              <w:jc w:val="center"/>
            </w:pPr>
            <w:r>
              <w:rPr>
                <w:rFonts w:ascii="Calibri" w:hAnsi="Calibri"/>
                <w:b w:val="0"/>
                <w:sz w:val="19"/>
              </w:rPr>
              <w:t>0 (0.0%)</w:t>
            </w:r>
          </w:p>
        </w:tc>
        <w:tc>
          <w:tcPr>
            <w:tcW w:type="dxa" w:w="1560"/>
          </w:tcPr>
          <w:p>
            <w:pPr>
              <w:jc w:val="center"/>
            </w:pPr>
            <w:r>
              <w:rPr>
                <w:rFonts w:ascii="Calibri" w:hAnsi="Calibri"/>
                <w:b w:val="0"/>
                <w:sz w:val="19"/>
              </w:rPr>
              <w:t>21 (44.7%)</w:t>
            </w:r>
          </w:p>
        </w:tc>
        <w:tc>
          <w:tcPr>
            <w:tcW w:type="dxa" w:w="1560"/>
          </w:tcPr>
          <w:p>
            <w:pPr>
              <w:jc w:val="center"/>
            </w:pPr>
            <w:r>
              <w:rPr>
                <w:rFonts w:ascii="Calibri" w:hAnsi="Calibri"/>
                <w:b w:val="0"/>
                <w:sz w:val="19"/>
              </w:rPr>
              <w:t>21 (35.0%)</w:t>
            </w:r>
          </w:p>
        </w:tc>
        <w:tc>
          <w:tcPr>
            <w:tcW w:type="dxa" w:w="1560"/>
          </w:tcPr>
          <w:p>
            <w:pPr>
              <w:jc w:val="center"/>
            </w:pPr>
            <w:r>
              <w:rPr>
                <w:rFonts w:ascii="Calibri" w:hAnsi="Calibri"/>
                <w:b w:val="0"/>
                <w:sz w:val="19"/>
              </w:rPr>
              <w:t>Fisher's exact test</w:t>
            </w:r>
          </w:p>
        </w:tc>
        <w:tc>
          <w:tcPr>
            <w:tcW w:type="dxa" w:w="1560"/>
          </w:tcPr>
          <w:p>
            <w:pPr>
              <w:jc w:val="center"/>
            </w:pPr>
            <w:r>
              <w:rPr>
                <w:rFonts w:ascii="Calibri" w:hAnsi="Calibri"/>
                <w:b w:val="0"/>
                <w:sz w:val="19"/>
              </w:rPr>
              <w:t>0.002*</w:t>
            </w:r>
          </w:p>
        </w:tc>
      </w:tr>
      <w:tr>
        <w:tc>
          <w:tcPr>
            <w:tcW w:type="dxa" w:w="1560"/>
          </w:tcPr>
          <w:p>
            <w:pPr>
              <w:jc w:val="left"/>
            </w:pPr>
            <w:r>
              <w:rPr>
                <w:rFonts w:ascii="Calibri" w:hAnsi="Calibri"/>
                <w:b w:val="0"/>
                <w:sz w:val="19"/>
              </w:rPr>
              <w:t>8. Use of improved yam varieties (Yes = 1)</w:t>
            </w:r>
          </w:p>
        </w:tc>
        <w:tc>
          <w:tcPr>
            <w:tcW w:type="dxa" w:w="1560"/>
          </w:tcPr>
          <w:p>
            <w:pPr>
              <w:jc w:val="center"/>
            </w:pPr>
            <w:r>
              <w:rPr>
                <w:rFonts w:ascii="Calibri" w:hAnsi="Calibri"/>
                <w:b w:val="0"/>
                <w:sz w:val="19"/>
              </w:rPr>
              <w:t>0 (0.0%)</w:t>
            </w:r>
          </w:p>
        </w:tc>
        <w:tc>
          <w:tcPr>
            <w:tcW w:type="dxa" w:w="1560"/>
          </w:tcPr>
          <w:p>
            <w:pPr>
              <w:jc w:val="center"/>
            </w:pPr>
            <w:r>
              <w:rPr>
                <w:rFonts w:ascii="Calibri" w:hAnsi="Calibri"/>
                <w:b w:val="0"/>
                <w:sz w:val="19"/>
              </w:rPr>
              <w:t>2 (4.3%)</w:t>
            </w:r>
          </w:p>
        </w:tc>
        <w:tc>
          <w:tcPr>
            <w:tcW w:type="dxa" w:w="1560"/>
          </w:tcPr>
          <w:p>
            <w:pPr>
              <w:jc w:val="center"/>
            </w:pPr>
            <w:r>
              <w:rPr>
                <w:rFonts w:ascii="Calibri" w:hAnsi="Calibri"/>
                <w:b w:val="0"/>
                <w:sz w:val="19"/>
              </w:rPr>
              <w:t>2 (3.3%)</w:t>
            </w:r>
          </w:p>
        </w:tc>
        <w:tc>
          <w:tcPr>
            <w:tcW w:type="dxa" w:w="1560"/>
          </w:tcPr>
          <w:p>
            <w:pPr>
              <w:jc w:val="center"/>
            </w:pPr>
            <w:r>
              <w:rPr>
                <w:rFonts w:ascii="Calibri" w:hAnsi="Calibri"/>
                <w:b w:val="0"/>
                <w:sz w:val="19"/>
              </w:rPr>
              <w:t>Fisher's exact test</w:t>
            </w:r>
          </w:p>
        </w:tc>
        <w:tc>
          <w:tcPr>
            <w:tcW w:type="dxa" w:w="1560"/>
          </w:tcPr>
          <w:p>
            <w:pPr>
              <w:jc w:val="center"/>
            </w:pPr>
            <w:r>
              <w:rPr>
                <w:rFonts w:ascii="Calibri" w:hAnsi="Calibri"/>
                <w:b w:val="0"/>
                <w:sz w:val="19"/>
              </w:rPr>
              <w:t>1.000</w:t>
            </w:r>
          </w:p>
        </w:tc>
      </w:tr>
      <w:tr>
        <w:tc>
          <w:tcPr>
            <w:tcW w:type="dxa" w:w="1560"/>
          </w:tcPr>
          <w:p>
            <w:pPr>
              <w:jc w:val="left"/>
            </w:pPr>
            <w:r>
              <w:rPr>
                <w:rFonts w:ascii="Calibri" w:hAnsi="Calibri"/>
                <w:b w:val="0"/>
                <w:sz w:val="19"/>
              </w:rPr>
              <w:t>9. Application of fertilizer/manure (Yes = 1)</w:t>
            </w:r>
          </w:p>
        </w:tc>
        <w:tc>
          <w:tcPr>
            <w:tcW w:type="dxa" w:w="1560"/>
          </w:tcPr>
          <w:p>
            <w:pPr>
              <w:jc w:val="center"/>
            </w:pPr>
            <w:r>
              <w:rPr>
                <w:rFonts w:ascii="Calibri" w:hAnsi="Calibri"/>
                <w:b w:val="0"/>
                <w:sz w:val="19"/>
              </w:rPr>
              <w:t>9 (69.2%)</w:t>
            </w:r>
          </w:p>
        </w:tc>
        <w:tc>
          <w:tcPr>
            <w:tcW w:type="dxa" w:w="1560"/>
          </w:tcPr>
          <w:p>
            <w:pPr>
              <w:jc w:val="center"/>
            </w:pPr>
            <w:r>
              <w:rPr>
                <w:rFonts w:ascii="Calibri" w:hAnsi="Calibri"/>
                <w:b w:val="0"/>
                <w:sz w:val="19"/>
              </w:rPr>
              <w:t>39 (83.0%)</w:t>
            </w:r>
          </w:p>
        </w:tc>
        <w:tc>
          <w:tcPr>
            <w:tcW w:type="dxa" w:w="1560"/>
          </w:tcPr>
          <w:p>
            <w:pPr>
              <w:jc w:val="center"/>
            </w:pPr>
            <w:r>
              <w:rPr>
                <w:rFonts w:ascii="Calibri" w:hAnsi="Calibri"/>
                <w:b w:val="0"/>
                <w:sz w:val="19"/>
              </w:rPr>
              <w:t>48 (80.0%)</w:t>
            </w:r>
          </w:p>
        </w:tc>
        <w:tc>
          <w:tcPr>
            <w:tcW w:type="dxa" w:w="1560"/>
          </w:tcPr>
          <w:p>
            <w:pPr>
              <w:jc w:val="center"/>
            </w:pPr>
            <w:r>
              <w:rPr>
                <w:rFonts w:ascii="Calibri" w:hAnsi="Calibri"/>
                <w:b w:val="0"/>
                <w:sz w:val="19"/>
              </w:rPr>
              <w:t>Pearson χ² = 0.497</w:t>
            </w:r>
          </w:p>
        </w:tc>
        <w:tc>
          <w:tcPr>
            <w:tcW w:type="dxa" w:w="1560"/>
          </w:tcPr>
          <w:p>
            <w:pPr>
              <w:jc w:val="center"/>
            </w:pPr>
            <w:r>
              <w:rPr>
                <w:rFonts w:ascii="Calibri" w:hAnsi="Calibri"/>
                <w:b w:val="0"/>
                <w:sz w:val="19"/>
              </w:rPr>
              <w:t>0.481</w:t>
            </w:r>
          </w:p>
        </w:tc>
      </w:tr>
      <w:tr>
        <w:tc>
          <w:tcPr>
            <w:tcW w:type="dxa" w:w="1560"/>
          </w:tcPr>
          <w:p>
            <w:pPr>
              <w:jc w:val="left"/>
            </w:pPr>
            <w:r>
              <w:rPr>
                <w:rFonts w:ascii="Calibri" w:hAnsi="Calibri"/>
                <w:b w:val="0"/>
                <w:sz w:val="19"/>
              </w:rPr>
              <w:t>10. Use of modern farm tools/technology (Yes = 1)</w:t>
            </w:r>
          </w:p>
        </w:tc>
        <w:tc>
          <w:tcPr>
            <w:tcW w:type="dxa" w:w="1560"/>
          </w:tcPr>
          <w:p>
            <w:pPr>
              <w:jc w:val="center"/>
            </w:pPr>
            <w:r>
              <w:rPr>
                <w:rFonts w:ascii="Calibri" w:hAnsi="Calibri"/>
                <w:b w:val="0"/>
                <w:sz w:val="19"/>
              </w:rPr>
              <w:t>0 (0.0%)</w:t>
            </w:r>
          </w:p>
        </w:tc>
        <w:tc>
          <w:tcPr>
            <w:tcW w:type="dxa" w:w="1560"/>
          </w:tcPr>
          <w:p>
            <w:pPr>
              <w:jc w:val="center"/>
            </w:pPr>
            <w:r>
              <w:rPr>
                <w:rFonts w:ascii="Calibri" w:hAnsi="Calibri"/>
                <w:b w:val="0"/>
                <w:sz w:val="19"/>
              </w:rPr>
              <w:t>6 (12.8%)</w:t>
            </w:r>
          </w:p>
        </w:tc>
        <w:tc>
          <w:tcPr>
            <w:tcW w:type="dxa" w:w="1560"/>
          </w:tcPr>
          <w:p>
            <w:pPr>
              <w:jc w:val="center"/>
            </w:pPr>
            <w:r>
              <w:rPr>
                <w:rFonts w:ascii="Calibri" w:hAnsi="Calibri"/>
                <w:b w:val="0"/>
                <w:sz w:val="19"/>
              </w:rPr>
              <w:t>6 (10.0%)</w:t>
            </w:r>
          </w:p>
        </w:tc>
        <w:tc>
          <w:tcPr>
            <w:tcW w:type="dxa" w:w="1560"/>
          </w:tcPr>
          <w:p>
            <w:pPr>
              <w:jc w:val="center"/>
            </w:pPr>
            <w:r>
              <w:rPr>
                <w:rFonts w:ascii="Calibri" w:hAnsi="Calibri"/>
                <w:b w:val="0"/>
                <w:sz w:val="19"/>
              </w:rPr>
              <w:t>Fisher's exact test</w:t>
            </w:r>
          </w:p>
        </w:tc>
        <w:tc>
          <w:tcPr>
            <w:tcW w:type="dxa" w:w="1560"/>
          </w:tcPr>
          <w:p>
            <w:pPr>
              <w:jc w:val="center"/>
            </w:pPr>
            <w:r>
              <w:rPr>
                <w:rFonts w:ascii="Calibri" w:hAnsi="Calibri"/>
                <w:b w:val="0"/>
                <w:sz w:val="19"/>
              </w:rPr>
              <w:t>0.324</w:t>
            </w:r>
          </w:p>
        </w:tc>
      </w:tr>
      <w:tr>
        <w:tc>
          <w:tcPr>
            <w:tcW w:type="dxa" w:w="1560"/>
          </w:tcPr>
          <w:p>
            <w:pPr>
              <w:jc w:val="left"/>
            </w:pPr>
            <w:r>
              <w:rPr>
                <w:rFonts w:ascii="Calibri" w:hAnsi="Calibri"/>
                <w:b w:val="0"/>
                <w:sz w:val="19"/>
              </w:rPr>
              <w:t>11. Membership in cooperative society (Yes = 1)</w:t>
            </w:r>
          </w:p>
        </w:tc>
        <w:tc>
          <w:tcPr>
            <w:tcW w:type="dxa" w:w="1560"/>
          </w:tcPr>
          <w:p>
            <w:pPr>
              <w:jc w:val="center"/>
            </w:pPr>
            <w:r>
              <w:rPr>
                <w:rFonts w:ascii="Calibri" w:hAnsi="Calibri"/>
                <w:b w:val="0"/>
                <w:sz w:val="19"/>
              </w:rPr>
              <w:t>10 (76.9%)</w:t>
            </w:r>
          </w:p>
        </w:tc>
        <w:tc>
          <w:tcPr>
            <w:tcW w:type="dxa" w:w="1560"/>
          </w:tcPr>
          <w:p>
            <w:pPr>
              <w:jc w:val="center"/>
            </w:pPr>
            <w:r>
              <w:rPr>
                <w:rFonts w:ascii="Calibri" w:hAnsi="Calibri"/>
                <w:b w:val="0"/>
                <w:sz w:val="19"/>
              </w:rPr>
              <w:t>39 (83.0%)</w:t>
            </w:r>
          </w:p>
        </w:tc>
        <w:tc>
          <w:tcPr>
            <w:tcW w:type="dxa" w:w="1560"/>
          </w:tcPr>
          <w:p>
            <w:pPr>
              <w:jc w:val="center"/>
            </w:pPr>
            <w:r>
              <w:rPr>
                <w:rFonts w:ascii="Calibri" w:hAnsi="Calibri"/>
                <w:b w:val="0"/>
                <w:sz w:val="19"/>
              </w:rPr>
              <w:t>49 (81.7%)</w:t>
            </w:r>
          </w:p>
        </w:tc>
        <w:tc>
          <w:tcPr>
            <w:tcW w:type="dxa" w:w="1560"/>
          </w:tcPr>
          <w:p>
            <w:pPr>
              <w:jc w:val="center"/>
            </w:pPr>
            <w:r>
              <w:rPr>
                <w:rFonts w:ascii="Calibri" w:hAnsi="Calibri"/>
                <w:b w:val="0"/>
                <w:sz w:val="19"/>
              </w:rPr>
              <w:t>Pearson χ² = 0.009</w:t>
            </w:r>
          </w:p>
        </w:tc>
        <w:tc>
          <w:tcPr>
            <w:tcW w:type="dxa" w:w="1560"/>
          </w:tcPr>
          <w:p>
            <w:pPr>
              <w:jc w:val="center"/>
            </w:pPr>
            <w:r>
              <w:rPr>
                <w:rFonts w:ascii="Calibri" w:hAnsi="Calibri"/>
                <w:b w:val="0"/>
                <w:sz w:val="19"/>
              </w:rPr>
              <w:t>0.925</w:t>
            </w:r>
          </w:p>
        </w:tc>
      </w:tr>
    </w:tbl>
    <w:p>
      <w:pPr>
        <w:spacing w:after="80"/>
      </w:pPr>
    </w:p>
    <w:p>
      <w:pPr>
        <w:spacing w:after="240"/>
        <w:jc w:val="left"/>
      </w:pPr>
      <w:r>
        <w:rPr>
          <w:i/>
          <w:sz w:val="19"/>
        </w:rPr>
        <w:t>Source: Field Survey Data Analysis, 2026. * Statistically significant at p &lt; 0.05. Primary non-parametric test for continuous variables: Mann–Whitney U test. Categorical variables evaluated via Pearson χ² (if expected cell counts ≥ 5) or Fisher's exact test (if expected cell counts &lt; 5).</w:t>
      </w:r>
    </w:p>
    <w:p>
      <w:pPr>
        <w:spacing w:after="120" w:line="276" w:lineRule="auto"/>
        <w:jc w:val="left"/>
      </w:pPr>
      <w:r>
        <w:rPr>
          <w:b/>
          <w:color w:val="1F4E78"/>
        </w:rPr>
        <w:t xml:space="preserve">Detailed Bivariate Findings: </w:t>
      </w:r>
      <w:r>
        <w:t>The bivariate results in Table 4.9 demonstrate distinct empirical patterns regarding how the six Objective II factors and agricultural variables relate to household poverty status:</w:t>
      </w:r>
    </w:p>
    <w:p>
      <w:pPr>
        <w:spacing w:after="120" w:line="276" w:lineRule="auto"/>
        <w:jc w:val="left"/>
      </w:pPr>
      <w:r>
        <w:rPr>
          <w:b/>
          <w:color w:val="1F4E78"/>
        </w:rPr>
        <w:t xml:space="preserve">1. Age of Farmer: </w:t>
      </w:r>
      <w:r>
        <w:t>Household heads from poor farming families were significantly older (mean = 51.31 ± 8.99 years; median = 53.00 years) than their non-poor counterparts (mean = 44.57 ± 8.04 years; median = 45.00 years). The Mann–Whitney U test confirmed that this age difference is statistically significant (Mann–Whitney U = 432.00, p = 0.024; Welch t = 2.443, p = 0.025). Older farmers may experience declining physical stamina for intensive yam cultivation and lower inclination toward adopting yield-enhancing innovations, increasing their vulnerability to poverty.</w:t>
      </w:r>
    </w:p>
    <w:p>
      <w:pPr>
        <w:spacing w:after="120" w:line="276" w:lineRule="auto"/>
        <w:jc w:val="left"/>
      </w:pPr>
      <w:r>
        <w:rPr>
          <w:b/>
          <w:color w:val="1F4E78"/>
        </w:rPr>
        <w:t xml:space="preserve">2. Household Size: </w:t>
      </w:r>
      <w:r>
        <w:t>Household size exhibited a highly significant positive association with poverty status. Poor households maintained an average size of 8.31 ± 1.70 persons (median = 9.00 persons, range = 6 to 10), compared to 5.66 ± 1.43 persons (median = 5.00 persons, range = 3 to 9) among non-poor households. The Mann–Whitney U test demonstrated a highly significant difference (Mann–Whitney U = 536.00, p &lt; 0.001; Welch t = 5.129, p &lt; 0.001). Larger household size imposes substantial consumption pressure on available household resources, directly reducing per-capita expenditure.</w:t>
      </w:r>
    </w:p>
    <w:p>
      <w:pPr>
        <w:spacing w:after="120" w:line="276" w:lineRule="auto"/>
        <w:jc w:val="left"/>
      </w:pPr>
      <w:r>
        <w:rPr>
          <w:b/>
          <w:color w:val="1F4E78"/>
        </w:rPr>
        <w:t xml:space="preserve">3. Educational Attainment: </w:t>
      </w:r>
      <w:r>
        <w:t>Educational attainment among yam farmers was predominantly concentrated at secondary (45.0%, n = 27) and primary (30.0%, n = 18) levels, with 25.0% (n = 15) attaining tertiary education. While tertiary education was more prevalent among non-poor farmers (29.8%, n = 14) than poor farmers (7.7%, n = 1), the overall cross-tabulation across educational categories did not achieve statistical significance at the 5% level (Pearson χ² = 2.673, df = 2, p = 0.263).</w:t>
      </w:r>
    </w:p>
    <w:p>
      <w:pPr>
        <w:spacing w:after="120" w:line="276" w:lineRule="auto"/>
        <w:jc w:val="left"/>
      </w:pPr>
      <w:r>
        <w:rPr>
          <w:b/>
          <w:color w:val="1F4E78"/>
        </w:rPr>
        <w:t xml:space="preserve">4. Access to Credit: </w:t>
      </w:r>
      <w:r>
        <w:t>Access to agricultural credit was one of the strongest institutional factors distinguishing poor from non-poor households. Exactly 61.7% (n = 29) of non-poor farmers obtained credit during the preceding farming season, compared to only 7.7% (n = 1) of poor farmers. Pearson chi-square analysis confirmed a highly significant association (Pearson χ² = 9.820, df = 1, p = 0.002; Fisher's exact test p = 0.001). Liquidity constraints severely limit the ability of poor farmers to purchase farm inputs and hire seasonal labor.</w:t>
      </w:r>
    </w:p>
    <w:p>
      <w:pPr>
        <w:spacing w:after="120" w:line="276" w:lineRule="auto"/>
        <w:jc w:val="left"/>
      </w:pPr>
      <w:r>
        <w:rPr>
          <w:b/>
          <w:color w:val="1F4E78"/>
        </w:rPr>
        <w:t xml:space="preserve">5. Agricultural Extension Contact: </w:t>
      </w:r>
      <w:r>
        <w:t>Agricultural extension contact was reported by 44.7% (n = 21) of non-poor farmers, whereas exactly 0.0% (n = 0) of poor farmers had contact with an extension agent in the preceding 12 months (Fisher's exact test p = 0.002), underscoring a complete institutional delivery gap among poor households.</w:t>
      </w:r>
    </w:p>
    <w:p>
      <w:pPr>
        <w:spacing w:after="120" w:line="276" w:lineRule="auto"/>
        <w:jc w:val="left"/>
      </w:pPr>
      <w:r>
        <w:rPr>
          <w:b/>
          <w:color w:val="1F4E78"/>
        </w:rPr>
        <w:t xml:space="preserve">6. Technology Adoption and Cooperative Membership: </w:t>
      </w:r>
      <w:r>
        <w:t>Adoption rates for improved varieties (3.3%, n = 2) and modern tools/technologies (10.0%, n = 6) were low across the study area and confined entirely to non-poor households (0.0% among poor farmers; Fisher's exact p = 1.000 and p = 0.324, respectively). Application of fertilizer or manure was high across both groups (83.0% non-poor vs. 69.2% poor; Pearson χ² = 0.497, p = 0.481), and cooperative membership was widespread (83.0% non-poor vs. 76.9% poor; Pearson χ² = 0.009, p = 0.925), indicating that general membership alone without targeted credit or extension access is insufficient to differentiate poverty status.</w:t>
      </w:r>
    </w:p>
    <w:p>
      <w:pPr>
        <w:keepNext/>
        <w:spacing w:before="220" w:after="80"/>
      </w:pPr>
      <w:r>
        <w:rPr>
          <w:rFonts w:ascii="Calibri" w:hAnsi="Calibri"/>
          <w:b/>
          <w:color w:val="1F4E78"/>
          <w:sz w:val="26"/>
        </w:rPr>
        <w:t>4.4.3 Multivariable Modeling Evaluation and Justification of Parsimonious Specification</w:t>
      </w:r>
    </w:p>
    <w:p>
      <w:pPr>
        <w:spacing w:after="120" w:line="276" w:lineRule="auto"/>
        <w:jc w:val="left"/>
      </w:pPr>
      <w:r>
        <w:t>In empirical econometrics, the scope of a research objective (which identifies all candidate factors for exploration) must be clearly distinguished from the mathematical requirements of multivariable regression modeling. While Objective II mandates analyzing all six socio-economic and institutional factors, forcing all six variables into a single multivariable logistic regression model is statistically indefensible for several critical reasons:</w:t>
      </w:r>
    </w:p>
    <w:p>
      <w:pPr>
        <w:spacing w:after="120" w:line="276" w:lineRule="auto"/>
        <w:jc w:val="left"/>
      </w:pPr>
      <w:r>
        <w:t>1. Events-Per-Variable (EPV) Constraint: The sample contains exactly 13 poverty events (n = 13 poor households). Methodological guidelines (e.g., Peduzzi et al., 1996; Harrell, 2015) establish that multivariable logistic regression requires 10 to 20 events per estimated predictor parameter to prevent severe estimation bias and over-fitting. A six-variable model with categorical dummies entails 8 parameters (EPV = 13 / 8 = 1.63), severely violating stability thresholds.</w:t>
      </w:r>
    </w:p>
    <w:p>
      <w:pPr>
        <w:spacing w:after="120" w:line="276" w:lineRule="auto"/>
        <w:jc w:val="left"/>
      </w:pPr>
      <w:r>
        <w:t>2. Quasi-Complete Separation and MLE Non-Convergence: Several candidate predictors (extension contact, improved varieties, and modern tools) exhibit zero occurrences among poor households (0/13 = 0.0%). In standard Maximum Likelihood Estimation (MLE), zero cell frequencies produce quasi-complete separation, causing parameter estimates to diverge toward infinity (SE &gt; 300) and preventing algorithm convergence.</w:t>
      </w:r>
    </w:p>
    <w:p>
      <w:pPr>
        <w:spacing w:after="120" w:line="276" w:lineRule="auto"/>
        <w:jc w:val="left"/>
      </w:pPr>
      <w:r>
        <w:t>3. Mechanical Endogeneity of Household Size: Household size enters directly into the mathematical denominator of the dependent variable (PCHE = Total Expenditure / Household Size). Including household size as a direct explanatory regressor in the logit model introduces an endogenous definitional artifact, masking the substantive structural associations of productive assets and institutional credit.</w:t>
      </w:r>
    </w:p>
    <w:p>
      <w:pPr>
        <w:spacing w:after="120" w:line="276" w:lineRule="auto"/>
        <w:jc w:val="left"/>
      </w:pPr>
      <w:r>
        <w:t>Consequently, the validated parsimonious two-predictor model (Table 4.10) incorporating Total Farm Size and Access to Credit represents the optimal, fully converged, and methodologically sound multivariable specification (LR χ² = 13.861, df = 2, p = 0.001; Nagelkerke R² = 0.318; Credit OR = 0.074, p = 0.037; Firth sensitivity OR = 0.110, p = 0.039). Objective II is therefore fully achieved analytically through the combined descriptive, bivariate, and multivariable framework.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