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4E78"/>
          <w:sz w:val="32"/>
        </w:rPr>
        <w:t>Objective II Comprehensive Reconciliation and Validation Report</w:t>
      </w:r>
    </w:p>
    <w:p>
      <w:pPr>
        <w:spacing w:after="120" w:line="276" w:lineRule="auto"/>
        <w:jc w:val="left"/>
      </w:pPr>
      <w:r>
        <w:t>Research Project: Analysis of Poverty Status of Yam Farmers in Akpabuyo Local Government Area, Cross River State, Nigeria.</w:t>
      </w:r>
    </w:p>
    <w:p>
      <w:pPr>
        <w:keepNext/>
        <w:spacing w:before="220" w:after="80"/>
      </w:pPr>
      <w:r>
        <w:rPr>
          <w:rFonts w:ascii="Calibri" w:hAnsi="Calibri"/>
          <w:b/>
          <w:color w:val="1F4E78"/>
          <w:sz w:val="26"/>
        </w:rPr>
        <w:t>1. Executive Summary</w:t>
      </w:r>
    </w:p>
    <w:p>
      <w:pPr>
        <w:spacing w:after="120" w:line="276" w:lineRule="auto"/>
        <w:jc w:val="left"/>
      </w:pPr>
      <w:r>
        <w:t>This technical report documents the complete validation and extension of Specific Objective II: 'Analyse factors influencing poverty such as age, education, household size, access to credit, technology adoption, and membership to cooperative.' All six approved factors have been mapped, verified against the raw dataset (N = 60), evaluated through descriptive metrics and bivariate association tests, and reconciled with the existing Chapter Four analysis.</w:t>
      </w:r>
    </w:p>
    <w:p>
      <w:pPr>
        <w:keepNext/>
        <w:spacing w:before="220" w:after="80"/>
      </w:pPr>
      <w:r>
        <w:rPr>
          <w:rFonts w:ascii="Calibri" w:hAnsi="Calibri"/>
          <w:b/>
          <w:color w:val="1F4E78"/>
          <w:sz w:val="26"/>
        </w:rPr>
        <w:t>2. Variable Mapping and Raw Data Quality Assessment</w:t>
      </w:r>
    </w:p>
    <w:p>
      <w:pPr>
        <w:spacing w:after="120" w:line="276" w:lineRule="auto"/>
        <w:jc w:val="left"/>
      </w:pPr>
      <w:r>
        <w:t>All 60 observations in raw_data.csv were audited. There were 0 missing values across all demographic, expenditure, and agricultural variables. The six Objective II factors were operationalised directly from the survey questionnaire as follows: Age (AGE, continuous), Education (HIGHEST LEVEL OF EDUCATION, 6=Primary, 12=Secondary, 16=Tertiary), Household Size (HOUSE HOLD SIZE, continuous), Access to Credit (ACCESS TO CREDIT FOR YAM FARMING DURING LAST SEASON, binary 1/0), Technology Adoption (operationalised via three discrete items: Improved Varieties, Fertilizer/Manure, and Modern Tools), and Cooperative Membership (MEMBER OF OOPERATIVE SOCIETY, binary 1/0).</w:t>
      </w:r>
    </w:p>
    <w:p>
      <w:pPr>
        <w:keepNext/>
        <w:spacing w:before="220" w:after="80"/>
      </w:pPr>
      <w:r>
        <w:rPr>
          <w:rFonts w:ascii="Calibri" w:hAnsi="Calibri"/>
          <w:b/>
          <w:color w:val="1F4E78"/>
          <w:sz w:val="26"/>
        </w:rPr>
        <w:t>3. Reconciliation with Existing Analysis 4</w:t>
      </w:r>
    </w:p>
    <w:p>
      <w:pPr>
        <w:spacing w:after="120" w:line="276" w:lineRule="auto"/>
        <w:jc w:val="left"/>
      </w:pPr>
      <w:r>
        <w:t>In the original Analysis 4, eight factors were evaluated in Table 4.9: Total Farm Size, Yam Area, Access to Credit, Extension Contact, Improved Varieties, Fertilizer/Manure, Modern Tools, and Cooperative Membership. While Age, Education, and Household Size were analyzed descriptively in Section 4.1, their explicit cross-tabulation and bivariate testing by poverty status were not included in Table 4.9. The extended analysis closes this gap completely by adding Panel A (Age, Household Size, Education) to Table 4.9 while preserving all existing results intact.</w:t>
      </w:r>
    </w:p>
    <w:p>
      <w:pPr>
        <w:keepNext/>
        <w:spacing w:before="220" w:after="80"/>
      </w:pPr>
      <w:r>
        <w:rPr>
          <w:rFonts w:ascii="Calibri" w:hAnsi="Calibri"/>
          <w:b/>
          <w:color w:val="1F4E78"/>
          <w:sz w:val="26"/>
        </w:rPr>
        <w:t>4. Summary of Substantive Findings</w:t>
      </w:r>
    </w:p>
    <w:p>
      <w:pPr>
        <w:spacing w:after="120" w:line="276" w:lineRule="auto"/>
        <w:jc w:val="left"/>
      </w:pPr>
      <w:r>
        <w:t>• Significant Factors Associated with Poverty: (1) Household Size (Mann–Whitney U = 536.00, p &lt; 0.001; Poor = 8.31 ± 1.70 vs. Non-poor = 5.66 ± 1.43); (2) Total Farm Size (Mann–Whitney U = 170.50, p = 0.016; Poor = 1.98 ± 0.48 ha vs. Non-poor = 2.56 ± 0.82 ha); (3) Access to Credit (Pearson χ² = 9.820, p = 0.002; Poor = 7.7% vs. Non-poor = 61.7%); (4) Extension Contact (Fisher's exact p = 0.002; Poor = 0.0% vs. Non-poor = 44.7%); (5) Age of Farmer (Mann–Whitney U = 432.00, p = 0.024; Poor = 51.31 ± 8.99 yrs vs. Non-poor = 44.57 ± 8.04 yrs).</w:t>
      </w:r>
    </w:p>
    <w:p>
      <w:pPr>
        <w:spacing w:after="120" w:line="276" w:lineRule="auto"/>
        <w:jc w:val="left"/>
      </w:pPr>
      <w:r>
        <w:t>• Non-Significant Factors: Education (p = 0.263), Yam Area (p = 0.072), Improved Varieties (p = 1.000), Fertilizer/Manure (p = 0.481), Modern Tools (p = 0.324), and Cooperative Membership (p = 0.925).</w:t>
      </w:r>
    </w:p>
    <w:p>
      <w:pPr>
        <w:keepNext/>
        <w:spacing w:before="220" w:after="80"/>
      </w:pPr>
      <w:r>
        <w:rPr>
          <w:rFonts w:ascii="Calibri" w:hAnsi="Calibri"/>
          <w:b/>
          <w:color w:val="1F4E78"/>
          <w:sz w:val="26"/>
        </w:rPr>
        <w:t>5. Multivariable Model Justification</w:t>
      </w:r>
    </w:p>
    <w:p>
      <w:pPr>
        <w:spacing w:after="120" w:line="276" w:lineRule="auto"/>
        <w:jc w:val="left"/>
      </w:pPr>
      <w:r>
        <w:t>The parsimonious two-predictor logistic regression model (Table 4.10: Total Farm Size and Access to Credit) remains fully valid, converged, and defensible. Forcing all six factors into a single regression model is mathematically unsound due to 13 poverty events (1.63 EPV), zero-cell separation, and mechanical endogeneity. The multivariable findings (Access to Credit OR = 0.074, p = 0.037; Firth OR = 0.110, p = 0.039) and Figure 4.4 are completely preserved.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