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2"/>
        </w:rPr>
        <w:t>OBJECTIVE 2: POVERTY STATUS PROFILE OF YAM FARMERS</w:t>
        <w:br/>
      </w:r>
    </w:p>
    <w:p>
      <w:pPr>
        <w:spacing w:before="120" w:after="360"/>
        <w:jc w:val="center"/>
      </w:pPr>
      <w:r>
        <w:rPr>
          <w:rFonts w:ascii="Times New Roman" w:hAnsi="Times New Roman"/>
          <w:b/>
          <w:sz w:val="24"/>
        </w:rPr>
        <w:t>Study: Analysis of Poverty Status of Yam Farmers in Akpabuyo Local Government Area, Cross River State, Nigeria</w:t>
        <w:br/>
      </w:r>
    </w:p>
    <w:p>
      <w:pPr>
        <w:spacing w:before="120" w:after="480"/>
        <w:jc w:val="center"/>
      </w:pPr>
      <w:r>
        <w:rPr>
          <w:rFonts w:ascii="Times New Roman" w:hAnsi="Times New Roman"/>
          <w:sz w:val="22"/>
        </w:rPr>
        <w:t>Department of Agricultural Economics, University of Calabar, Calabar, Nigeria</w:t>
        <w:br/>
        <w:t>September 2026</w:t>
      </w:r>
    </w:p>
    <w:p>
      <w:pPr>
        <w:spacing w:line="276" w:lineRule="auto" w:before="360" w:after="120"/>
        <w:jc w:val="center"/>
      </w:pPr>
      <w:r>
        <w:rPr>
          <w:rFonts w:ascii="Times New Roman" w:hAnsi="Times New Roman"/>
          <w:b/>
          <w:color w:val="000000"/>
          <w:sz w:val="28"/>
        </w:rPr>
        <w:t>1. Methodological Operationalization of Objective II</w:t>
      </w:r>
    </w:p>
    <w:p>
      <w:pPr>
        <w:spacing w:before="0" w:after="120" w:line="276" w:lineRule="auto"/>
        <w:jc w:val="both"/>
      </w:pPr>
      <w:r>
        <w:rPr>
          <w:rFonts w:ascii="Times New Roman" w:hAnsi="Times New Roman"/>
          <w:b w:val="0"/>
          <w:i w:val="0"/>
          <w:color w:val="000000"/>
          <w:sz w:val="24"/>
        </w:rPr>
        <w:t>Specific Objective II of this study is to analyze the poverty status of yam farmers in Akpabuyo Local Government Area. In agricultural economics and welfare analysis, this objective is operationalized through a descriptive Poverty Status Profile. While Objective I establishes the formal measurement of poverty via the relative poverty line and Foster-Greer-Thorbecke (FGT) indices, and Objective III conducts inferential hypothesis testing and multivariable econometric modeling of poverty drivers, Objective II bridges measurement and econometric modeling by detailing what the poverty status of yam farmers looks like across their demographic, human capital, farm asset, and institutional characteristics.</w:t>
      </w:r>
    </w:p>
    <w:p>
      <w:pPr>
        <w:spacing w:before="0" w:after="120" w:line="276" w:lineRule="auto"/>
        <w:jc w:val="both"/>
      </w:pPr>
      <w:r>
        <w:rPr>
          <w:rFonts w:ascii="Times New Roman" w:hAnsi="Times New Roman"/>
          <w:b w:val="0"/>
          <w:i w:val="0"/>
          <w:color w:val="000000"/>
          <w:sz w:val="24"/>
        </w:rPr>
        <w:t>The profile is constructed using the validated respondent-level dataset of N = 60 yam-farming households from raw_data.csv. Per-Capita Monthly Household Expenditure (PCHE) was computed by dividing total monthly household expenditure by household size. Based on the established relative poverty line of two-thirds of the mean PCHE (z = ₦13,526.02 per person per month), 13 households (21.67%) were classified as poor (PCHE &lt; ₦13,526.02), while 47 households (78.33%) were classified as non-poor (PCHE ≥ ₦13,526.02). The profile systematically compares these two welfare groups across all operational variables.</w:t>
      </w:r>
    </w:p>
    <w:p>
      <w:pPr>
        <w:spacing w:line="276" w:lineRule="auto" w:before="360" w:after="120"/>
        <w:jc w:val="center"/>
      </w:pPr>
      <w:r>
        <w:rPr>
          <w:rFonts w:ascii="Times New Roman" w:hAnsi="Times New Roman"/>
          <w:b/>
          <w:color w:val="000000"/>
          <w:sz w:val="28"/>
        </w:rPr>
        <w:t>2. Socioeconomic and Institutional Characteristics by Poverty Status</w:t>
      </w:r>
    </w:p>
    <w:p>
      <w:pPr>
        <w:spacing w:before="0" w:after="120" w:line="276" w:lineRule="auto"/>
        <w:jc w:val="both"/>
      </w:pPr>
      <w:r>
        <w:rPr>
          <w:rFonts w:ascii="Times New Roman" w:hAnsi="Times New Roman"/>
          <w:b w:val="0"/>
          <w:i w:val="0"/>
          <w:color w:val="000000"/>
          <w:sz w:val="24"/>
        </w:rPr>
        <w:t>Table 1 profiles the categorical demographic, educational, and institutional characteristics of the sampled yam farmers disaggregated by poverty status.</w:t>
      </w:r>
    </w:p>
    <w:p>
      <w:pPr>
        <w:spacing w:before="240" w:after="60" w:line="276" w:lineRule="auto"/>
        <w:jc w:val="left"/>
      </w:pPr>
      <w:r>
        <w:rPr>
          <w:rFonts w:ascii="Times New Roman" w:hAnsi="Times New Roman"/>
          <w:b/>
          <w:color w:val="000000"/>
          <w:sz w:val="24"/>
        </w:rPr>
        <w:t>Table 1: Distribution of Yam Farmers by Poverty Status and Socioeconomic Characteristics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1337"/>
        <w:gridCol w:w="1337"/>
        <w:gridCol w:w="1337"/>
        <w:gridCol w:w="1337"/>
        <w:gridCol w:w="1337"/>
        <w:gridCol w:w="1337"/>
        <w:gridCol w:w="1337"/>
      </w:tblGrid>
      <w:tr>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Socioeconomic Variable</w:t>
            </w:r>
          </w:p>
        </w:tc>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Category</w:t>
            </w:r>
          </w:p>
        </w:tc>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w:t>
            </w:r>
          </w:p>
        </w:tc>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w:t>
            </w:r>
          </w:p>
        </w:tc>
        <w:tc>
          <w:tcPr>
            <w:tcW w:type="dxa" w:w="1337"/>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Total (N = 60)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Sex</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Male</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36 (60.00%)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Female</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 (40.00%)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Marital Status</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Single</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 (8.33%)</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Married</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Widowed</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15.38%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Educational Attainment</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Primary education (6 yrs)</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38.46%</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27.66%</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 (30.00%)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Secondary education (12 yrs)</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53.85%</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42.55%</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27 (45.00%)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Tertiary education (16 yrs)</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29.79%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15 (25.00%)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Other Income Source</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(Off-farm income)</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85.11%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(Yam/farm only)</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14.89%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Access to Credit</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(Obtained credit)</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61.70%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credit access)</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92.31%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38.30%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 (50.00%)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Extension Contact</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(Agent visit)</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44.68%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21 (35.00%)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extension visit)</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26</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55.32%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 (65.00%)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Improved Yam Varieties</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(Cultivated improved)</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4.26%</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 (3.33%)</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(Local cultivars only)</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45</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95.74%</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58 (96.67%)</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Fertilizer / Manure Use</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(Applied nutrients)</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69.23%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48 (80.00%)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 fertilizer applied)</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30.77%</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 (20.00%)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Modern Tools / Tech</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(Used modern tools)</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0.00%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12.77%</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 (10.00%)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(Traditional tools only)</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100.00%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41</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87.23%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54 (90.00%)</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i w:val="0"/>
                <w:color w:val="000000"/>
                <w:sz w:val="21"/>
              </w:rPr>
              <w:t>Cooperative Membership</w:t>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Yes (Cooperative member)</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76.92%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39</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82.98%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49 (81.67%)</w:t>
            </w:r>
          </w:p>
        </w:tc>
      </w:tr>
      <w:tr>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r>
          </w:p>
        </w:tc>
        <w:tc>
          <w:tcPr>
            <w:tcW w:type="dxa" w:w="1337"/>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No (Non-member)</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3</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23.08%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17.02%</w:t>
            </w:r>
          </w:p>
        </w:tc>
        <w:tc>
          <w:tcPr>
            <w:tcW w:type="dxa" w:w="1337"/>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 (18.33%)</w:t>
            </w:r>
          </w:p>
        </w:tc>
      </w:tr>
    </w:tbl>
    <w:p>
      <w:pPr>
        <w:spacing w:before="60" w:after="200" w:line="276" w:lineRule="auto"/>
        <w:jc w:val="both"/>
      </w:pPr>
      <w:r>
        <w:rPr>
          <w:rFonts w:ascii="Times New Roman" w:hAnsi="Times New Roman"/>
          <w:i/>
          <w:color w:val="000000"/>
          <w:sz w:val="21"/>
        </w:rPr>
        <w:t>Source: Field Survey Data Analysis, 2026. Percentages represent within-group distributions for poor (n = 13) and non-poor (n = 47) farmers.</w:t>
      </w:r>
    </w:p>
    <w:p>
      <w:pPr>
        <w:spacing w:line="276" w:lineRule="auto" w:before="360" w:after="120"/>
        <w:jc w:val="center"/>
      </w:pPr>
      <w:r>
        <w:rPr>
          <w:rFonts w:ascii="Times New Roman" w:hAnsi="Times New Roman"/>
          <w:b/>
          <w:color w:val="000000"/>
          <w:sz w:val="28"/>
        </w:rPr>
        <w:t>3. Continuous Demographic and Farm Production Profile</w:t>
      </w:r>
    </w:p>
    <w:p>
      <w:pPr>
        <w:spacing w:before="0" w:after="120" w:line="276" w:lineRule="auto"/>
        <w:jc w:val="both"/>
      </w:pPr>
      <w:r>
        <w:rPr>
          <w:rFonts w:ascii="Times New Roman" w:hAnsi="Times New Roman"/>
          <w:b w:val="0"/>
          <w:i w:val="0"/>
          <w:color w:val="000000"/>
          <w:sz w:val="24"/>
        </w:rPr>
        <w:t>Table 2 summarizes the central tendency and dispersion of key continuous demographic, experience, and land asset variables across the poor and non-poor groups.</w:t>
      </w:r>
    </w:p>
    <w:p>
      <w:pPr>
        <w:spacing w:before="240" w:after="60" w:line="276" w:lineRule="auto"/>
        <w:jc w:val="left"/>
      </w:pPr>
      <w:r>
        <w:rPr>
          <w:rFonts w:ascii="Times New Roman" w:hAnsi="Times New Roman"/>
          <w:b/>
          <w:color w:val="000000"/>
          <w:sz w:val="24"/>
        </w:rPr>
        <w:t>Table 2: Mean Characteristics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Continuous Variable</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 Mean ± SD</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 Mean ± SD</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 Mean ± SD</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Farmer Chronological Age (years)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51.31 ± 8.99</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44.57 ± 8.04</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46.03 ± 8.64</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Household Size (persons)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Farming Experience (years)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25.77 ± 10.48</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16.98 ± 6.94</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18.88 ± 8.56</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Total Farm Size (hectares)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1.98 ± 0.48</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2.56 ± 0.82</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2.43 ± 0.79</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Yam Cultivated Area (hectares)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1.43 ± 0.37</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1.73 ± 0.56</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1.67 ± 0.53</w:t>
            </w:r>
          </w:p>
        </w:tc>
      </w:tr>
    </w:tbl>
    <w:p>
      <w:pPr>
        <w:spacing w:before="60" w:after="200" w:line="276" w:lineRule="auto"/>
        <w:jc w:val="both"/>
      </w:pPr>
      <w:r>
        <w:rPr>
          <w:rFonts w:ascii="Times New Roman" w:hAnsi="Times New Roman"/>
          <w:i/>
          <w:color w:val="000000"/>
          <w:sz w:val="21"/>
        </w:rPr>
        <w:t>Source: Field Survey Data Analysis, 2026. Continuous values reported as arithmetic mean ± sample standard deviation (SD).</w:t>
      </w:r>
    </w:p>
    <w:p>
      <w:pPr>
        <w:spacing w:line="276" w:lineRule="auto" w:before="360" w:after="120"/>
        <w:jc w:val="center"/>
      </w:pPr>
      <w:r>
        <w:rPr>
          <w:rFonts w:ascii="Times New Roman" w:hAnsi="Times New Roman"/>
          <w:b/>
          <w:color w:val="000000"/>
          <w:sz w:val="28"/>
        </w:rPr>
        <w:t>4. Expenditure and Living Standards Profile</w:t>
      </w:r>
    </w:p>
    <w:p>
      <w:pPr>
        <w:spacing w:before="0" w:after="120" w:line="276" w:lineRule="auto"/>
        <w:jc w:val="both"/>
      </w:pPr>
      <w:r>
        <w:rPr>
          <w:rFonts w:ascii="Times New Roman" w:hAnsi="Times New Roman"/>
          <w:b w:val="0"/>
          <w:i w:val="0"/>
          <w:color w:val="000000"/>
          <w:sz w:val="24"/>
        </w:rPr>
        <w:t>Table 3 details the budgetary welfare indicators and expenditure shortfalls characterizing the poor and non-poor households in the study area.</w:t>
      </w:r>
    </w:p>
    <w:p>
      <w:pPr>
        <w:spacing w:before="240" w:after="60" w:line="276" w:lineRule="auto"/>
        <w:jc w:val="left"/>
      </w:pPr>
      <w:r>
        <w:rPr>
          <w:rFonts w:ascii="Times New Roman" w:hAnsi="Times New Roman"/>
          <w:b/>
          <w:color w:val="000000"/>
          <w:sz w:val="24"/>
        </w:rPr>
        <w:t>Table 3: Expenditure Welfare Profile of Yam Farmers by Poverty Status</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340"/>
        <w:gridCol w:w="2340"/>
        <w:gridCol w:w="2340"/>
        <w:gridCol w:w="2340"/>
      </w:tblGrid>
      <w:tr>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left"/>
            </w:pPr>
            <w:r>
              <w:rPr>
                <w:rFonts w:ascii="Times New Roman" w:hAnsi="Times New Roman"/>
                <w:b/>
                <w:i w:val="0"/>
                <w:color w:val="000000"/>
                <w:sz w:val="21"/>
              </w:rPr>
              <w:t>Welfare &amp; Budgetary Indicator</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Poor (n = 13)</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Non-Poor (n = 47)</w:t>
            </w:r>
          </w:p>
        </w:tc>
        <w:tc>
          <w:tcPr>
            <w:tcW w:type="dxa" w:w="2340"/>
            <w:tcMar>
              <w:top w:w="60" w:type="dxa"/>
              <w:bottom w:w="60" w:type="dxa"/>
              <w:left w:w="100" w:type="dxa"/>
              <w:right w:w="100" w:type="dxa"/>
            </w:tcMar>
            <w:vAlign w:val="center"/>
            <w:tcBorders>
              <w:bottom w:val="single" w:sz="8" w:space="0" w:color="000000"/>
            </w:tcBorders>
          </w:tcPr>
          <w:p>
            <w:pPr>
              <w:spacing w:before="40" w:after="40" w:line="240" w:lineRule="auto"/>
              <w:jc w:val="right"/>
            </w:pPr>
            <w:r>
              <w:rPr>
                <w:rFonts w:ascii="Times New Roman" w:hAnsi="Times New Roman"/>
                <w:b/>
                <w:i w:val="0"/>
                <w:color w:val="000000"/>
                <w:sz w:val="21"/>
              </w:rPr>
              <w:t>Overall (N = 60)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Total Monthly Household Expenditure</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₦101,000.00 ± ₦24,782.39</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₦119,941.49 ± ₦27,223.37</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₦115,837.50 ± ₦27,652.42</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Household Size (persons)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8.31 ± 1.70</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5.66 ± 1.43</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6.23 ± 1.84</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Per-Capita Expenditure (PCHE)</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₦12,079.49 ± ₦919.97</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₦22,559.76 ± ₦7,830.98</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₦20,289.03 ± ₦8,181.80</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Monthly Relative Poverty Line (z)</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₦13,526.02</w:t>
            </w:r>
          </w:p>
        </w:tc>
      </w:tr>
      <w:tr>
        <w:tc>
          <w:tcPr>
            <w:tcW w:type="dxa" w:w="2340"/>
            <w:tcMar>
              <w:top w:w="60" w:type="dxa"/>
              <w:bottom w:w="60" w:type="dxa"/>
              <w:left w:w="100" w:type="dxa"/>
              <w:right w:w="100" w:type="dxa"/>
            </w:tcMar>
            <w:vAlign w:val="center"/>
          </w:tcPr>
          <w:p>
            <w:pPr>
              <w:spacing w:before="40" w:after="40" w:line="240" w:lineRule="auto"/>
              <w:jc w:val="left"/>
            </w:pPr>
            <w:r>
              <w:rPr>
                <w:rFonts w:ascii="Times New Roman" w:hAnsi="Times New Roman"/>
                <w:b w:val="0"/>
                <w:i w:val="0"/>
                <w:color w:val="000000"/>
                <w:sz w:val="21"/>
              </w:rPr>
              <w:t>Mean Monthly Expenditure Deficit / Surplus</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Shortfall: -₦1,446.53</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Surplus: +₦9,033.74</w:t>
            </w:r>
          </w:p>
        </w:tc>
        <w:tc>
          <w:tcPr>
            <w:tcW w:type="dxa" w:w="2340"/>
            <w:tcMar>
              <w:top w:w="60" w:type="dxa"/>
              <w:bottom w:w="60" w:type="dxa"/>
              <w:left w:w="100" w:type="dxa"/>
              <w:right w:w="100" w:type="dxa"/>
            </w:tcMar>
            <w:vAlign w:val="center"/>
          </w:tcPr>
          <w:p>
            <w:pPr>
              <w:spacing w:before="40" w:after="40" w:line="240" w:lineRule="auto"/>
              <w:jc w:val="right"/>
            </w:pPr>
            <w:r>
              <w:rPr>
                <w:rFonts w:ascii="Times New Roman" w:hAnsi="Times New Roman"/>
                <w:b w:val="0"/>
                <w:i w:val="0"/>
                <w:color w:val="000000"/>
                <w:sz w:val="21"/>
              </w:rPr>
              <w:t>Mean Shortfall: ₦313.42</w:t>
            </w:r>
          </w:p>
        </w:tc>
      </w:tr>
    </w:tbl>
    <w:p>
      <w:pPr>
        <w:spacing w:before="60" w:after="200" w:line="276" w:lineRule="auto"/>
        <w:jc w:val="both"/>
      </w:pPr>
      <w:r>
        <w:rPr>
          <w:rFonts w:ascii="Times New Roman" w:hAnsi="Times New Roman"/>
          <w:i/>
          <w:color w:val="000000"/>
          <w:sz w:val="21"/>
        </w:rPr>
        <w:t>Source: Field Survey Data Analysis, 2026. Relative poverty threshold z = (2/3) × Mean PCHE = ₦13,526.02 per person per month.</w:t>
      </w:r>
    </w:p>
    <w:p>
      <w:pPr>
        <w:spacing w:line="276" w:lineRule="auto" w:before="360" w:after="120"/>
        <w:jc w:val="center"/>
      </w:pPr>
      <w:r>
        <w:rPr>
          <w:rFonts w:ascii="Times New Roman" w:hAnsi="Times New Roman"/>
          <w:b/>
          <w:color w:val="000000"/>
          <w:sz w:val="28"/>
        </w:rPr>
        <w:t>5. Narrative Interpretation of the Poverty Status Profile</w:t>
      </w:r>
    </w:p>
    <w:p>
      <w:pPr>
        <w:spacing w:before="0" w:after="120" w:line="276" w:lineRule="auto"/>
        <w:jc w:val="both"/>
      </w:pPr>
      <w:r>
        <w:rPr>
          <w:rFonts w:ascii="Times New Roman" w:hAnsi="Times New Roman"/>
          <w:b w:val="0"/>
          <w:i w:val="0"/>
          <w:color w:val="000000"/>
          <w:sz w:val="24"/>
        </w:rPr>
        <w:t>The descriptive poverty profile reveals clear socioeconomic and structural distinctions between poor and non-poor yam-farming households in Akpabuyo Local Government Area. Out of the 60 sampled households, 13 (21.67%) were identified as poor, falling below the relative poverty threshold of ₦13,526.02 per person per month, while 47 households (78.33%) were classified as non-poor. Descriptively, the poor group exhibited a monthly per-capita expenditure averaging ₦12,079.49 (representing a mean monthly consumption deficit of ₦1,446.53 per capita relative to the poverty line), compared to ₦22,559.76 among the non-poor group. Although total monthly household spending was somewhat lower among the poor (₦101,000.00 versus ₦119,941.49), the pronounced divergence in per-capita living standards is heavily driven by demographic composition.</w:t>
      </w:r>
    </w:p>
    <w:p>
      <w:pPr>
        <w:spacing w:before="0" w:after="120" w:line="276" w:lineRule="auto"/>
        <w:jc w:val="both"/>
      </w:pPr>
      <w:r>
        <w:rPr>
          <w:rFonts w:ascii="Times New Roman" w:hAnsi="Times New Roman"/>
          <w:b w:val="0"/>
          <w:i w:val="0"/>
          <w:color w:val="000000"/>
          <w:sz w:val="24"/>
        </w:rPr>
        <w:t>Demographically, poor yam farmers in the study area were characterized by older chronological age and substantially larger household sizes. Farmers classified as poor recorded a mean age of 51.31 ± 8.99 years (with 76.92% being male), compared to an average age of 44.57 ± 8.04 years among non-poor farmers (where females comprised 44.68% of enterprise heads). Furthermore, the poor group had an average household size of 8.31 ± 1.70 persons (ranging from 6 to 10 members), whereas non-poor households averaged 5.66 ± 1.43 members. This descriptive contrast highlights that poor households bear a substantially heavier family dependency burden, spreading their budgetary resources over more members and resulting in depressed per-capita consumption levels.</w:t>
      </w:r>
    </w:p>
    <w:p>
      <w:pPr>
        <w:spacing w:before="0" w:after="120" w:line="276" w:lineRule="auto"/>
        <w:jc w:val="both"/>
      </w:pPr>
      <w:r>
        <w:rPr>
          <w:rFonts w:ascii="Times New Roman" w:hAnsi="Times New Roman"/>
          <w:b w:val="0"/>
          <w:i w:val="0"/>
          <w:color w:val="000000"/>
          <w:sz w:val="24"/>
        </w:rPr>
        <w:t>In terms of human capital and income diversification, noticeable descriptive differences emerged between the two welfare strata. While the majority of both poor (53.85%) and non-poor (42.55%) farmers possessed secondary education, non-poor farmers recorded a higher proportion of tertiary educational attainment (29.79%) compared to the poor group (7.69%). Conversely, primary education was more prevalent among poor respondents (38.46%) than among non-poor respondents (27.66%). Regarding livelihoods, 85.11% of non-poor households engaged in supplementary off-farm income-generating activities, whereas a lower proportion of poor households (69.23%) reported secondary income sources, indicating that non-poor farming families maintained greater income diversification.</w:t>
      </w:r>
    </w:p>
    <w:p>
      <w:pPr>
        <w:spacing w:before="0" w:after="120" w:line="276" w:lineRule="auto"/>
        <w:jc w:val="both"/>
      </w:pPr>
      <w:r>
        <w:rPr>
          <w:rFonts w:ascii="Times New Roman" w:hAnsi="Times New Roman"/>
          <w:b w:val="0"/>
          <w:i w:val="0"/>
          <w:color w:val="000000"/>
          <w:sz w:val="24"/>
        </w:rPr>
        <w:t>A descriptive examination of farm productive assets indicates that non-poor farmers operated larger land holdings and allocated more area to yam cultivation. Non-poor respondents managed an average total farm holding of 2.56 ± 0.82 hectares (with 1.73 ± 0.56 hectares dedicated specifically to yam), whereas poor respondents cultivated an average total farm size of 1.98 ± 0.48 hectares (with 1.43 ± 0.37 hectares under yam). Interestingly, poor farmers recorded longer yam farming experience (25.77 ± 10.48 years versus 16.98 ± 6.94 years among non-poor farmers), reflecting their older demographic profile but demonstrating that length of traditional farming experience alone does not preclude household poverty in the absence of modern farm capital.</w:t>
      </w:r>
    </w:p>
    <w:p>
      <w:pPr>
        <w:spacing w:before="0" w:after="120" w:line="276" w:lineRule="auto"/>
        <w:jc w:val="both"/>
      </w:pPr>
      <w:r>
        <w:rPr>
          <w:rFonts w:ascii="Times New Roman" w:hAnsi="Times New Roman"/>
          <w:b w:val="0"/>
          <w:i w:val="0"/>
          <w:color w:val="000000"/>
          <w:sz w:val="24"/>
        </w:rPr>
        <w:t>Institutional support and modern input adoption displayed the sharpest descriptive contrast across the poverty profile. Among non-poor farmers, 61.70% had access to agricultural credit during the preceding farming season, compared to only 7.69% (1 out of 13) among poor farmers. Furthermore, 44.68% of non-poor farmers received agricultural extension advisory visits, while 0.00% (0 out of 13) of poor farmers had extension contact. Similarly, modern farm tools and improved yam varieties were utilized exclusively by a fraction of non-poor farmers (12.77% and 4.26%, respectively), while completely absent (0.00%) among the poor. Cooperative society membership was widespread across both groups (76.92% poor versus 82.98% non-poor), reflecting broad community-level social organization.</w:t>
      </w:r>
    </w:p>
    <w:p>
      <w:pPr>
        <w:spacing w:before="0" w:after="120" w:line="276" w:lineRule="auto"/>
        <w:jc w:val="both"/>
      </w:pPr>
      <w:r>
        <w:rPr>
          <w:rFonts w:ascii="Times New Roman" w:hAnsi="Times New Roman"/>
          <w:b w:val="0"/>
          <w:i w:val="0"/>
          <w:color w:val="000000"/>
          <w:sz w:val="24"/>
        </w:rPr>
        <w:t>In conclusion, the Objective II poverty profile illustrates that poor yam-farming households in Akpabuyo LGA are descriptively characterized by older household heads, larger domestic dependency burdens, smaller land holdings, lower secondary income diversification, and severe deprivation in agricultural credit access and extension contact. Rather than asserting causal mechanisms, this descriptive profile provides the empirical foundation for Objective III, where bivariate statistical tests and multivariable binary logistic regression formally evaluate the statistical significance and independent associations of these factors with household poverty status.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