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CHAPTER FOUR (CONTINUED)</w:t>
        <w:br/>
        <w:t>HOUSEHOLD EXPENDITURE ANALYSIS OF YAM FARMERS</w:t>
      </w:r>
    </w:p>
    <w:p>
      <w:pPr>
        <w:keepNext/>
        <w:spacing w:before="280" w:after="120"/>
      </w:pPr>
      <w:r>
        <w:rPr>
          <w:rFonts w:ascii="Times New Roman" w:hAnsi="Times New Roman"/>
          <w:b/>
          <w:color w:val="1F4E78"/>
          <w:sz w:val="28"/>
        </w:rPr>
        <w:t>4.5 Monthly Household Expenditure Analysis</w:t>
      </w:r>
    </w:p>
    <w:p>
      <w:r>
        <w:rPr>
          <w:b/>
        </w:rPr>
        <w:t>Table 4.3: Descriptive Statistics of Monthly Household Expenditure among Yam Farmers in Akpabuyo LGA</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0"/>
        <w:gridCol w:w="1560"/>
        <w:gridCol w:w="1560"/>
        <w:gridCol w:w="1560"/>
        <w:gridCol w:w="1560"/>
        <w:gridCol w:w="1560"/>
      </w:tblGrid>
      <w:tr>
        <w:tc>
          <w:tcPr>
            <w:tcW w:type="dxa" w:w="1560"/>
            <w:tcBorders>
              <w:bottom w:val="single" w:sz="8" w:space="0" w:color="000000"/>
            </w:tcBorders>
            <w:tcMar>
              <w:top w:w="100" w:type="dxa"/>
              <w:bottom w:w="100" w:type="dxa"/>
              <w:left w:w="150" w:type="dxa"/>
              <w:right w:w="150" w:type="dxa"/>
            </w:tcMar>
          </w:tcPr>
          <w:p>
            <w:pPr>
              <w:jc w:val="left"/>
            </w:pPr>
            <w:r>
              <w:rPr>
                <w:rFonts w:ascii="Times New Roman" w:hAnsi="Times New Roman"/>
                <w:b/>
                <w:sz w:val="22"/>
              </w:rPr>
              <w:t>Expenditure item</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N</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Mean (₦)</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Standard deviation (₦)</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Minimum (₦)</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Maximum (₦)</w:t>
            </w:r>
          </w:p>
        </w:tc>
      </w:tr>
      <w:tr>
        <w:tc>
          <w:tcPr>
            <w:tcW w:type="dxa" w:w="1560"/>
            <w:tcMar>
              <w:top w:w="100" w:type="dxa"/>
              <w:bottom w:w="100" w:type="dxa"/>
              <w:left w:w="150" w:type="dxa"/>
              <w:right w:w="150" w:type="dxa"/>
            </w:tcMar>
          </w:tcPr>
          <w:p>
            <w:pPr>
              <w:jc w:val="left"/>
            </w:pPr>
            <w:r>
              <w:rPr>
                <w:rFonts w:ascii="Times New Roman" w:hAnsi="Times New Roman"/>
                <w:sz w:val="22"/>
              </w:rPr>
              <w:t>Food and groceries</w:t>
            </w:r>
          </w:p>
        </w:tc>
        <w:tc>
          <w:tcPr>
            <w:tcW w:type="dxa" w:w="1560"/>
            <w:tcMar>
              <w:top w:w="100" w:type="dxa"/>
              <w:bottom w:w="100" w:type="dxa"/>
              <w:left w:w="150" w:type="dxa"/>
              <w:right w:w="150" w:type="dxa"/>
            </w:tcMar>
          </w:tcPr>
          <w:p>
            <w:pPr>
              <w:jc w:val="right"/>
            </w:pPr>
            <w:r>
              <w:rPr>
                <w:rFonts w:ascii="Times New Roman" w:hAnsi="Times New Roman"/>
                <w:sz w:val="22"/>
              </w:rPr>
              <w:t>60</w:t>
            </w:r>
          </w:p>
        </w:tc>
        <w:tc>
          <w:tcPr>
            <w:tcW w:type="dxa" w:w="1560"/>
            <w:tcMar>
              <w:top w:w="100" w:type="dxa"/>
              <w:bottom w:w="100" w:type="dxa"/>
              <w:left w:w="150" w:type="dxa"/>
              <w:right w:w="150" w:type="dxa"/>
            </w:tcMar>
          </w:tcPr>
          <w:p>
            <w:pPr>
              <w:jc w:val="right"/>
            </w:pPr>
            <w:r>
              <w:rPr>
                <w:rFonts w:ascii="Times New Roman" w:hAnsi="Times New Roman"/>
                <w:sz w:val="22"/>
              </w:rPr>
              <w:t>60,703.33</w:t>
            </w:r>
          </w:p>
        </w:tc>
        <w:tc>
          <w:tcPr>
            <w:tcW w:type="dxa" w:w="1560"/>
            <w:tcMar>
              <w:top w:w="100" w:type="dxa"/>
              <w:bottom w:w="100" w:type="dxa"/>
              <w:left w:w="150" w:type="dxa"/>
              <w:right w:w="150" w:type="dxa"/>
            </w:tcMar>
          </w:tcPr>
          <w:p>
            <w:pPr>
              <w:jc w:val="right"/>
            </w:pPr>
            <w:r>
              <w:rPr>
                <w:rFonts w:ascii="Times New Roman" w:hAnsi="Times New Roman"/>
                <w:sz w:val="22"/>
              </w:rPr>
              <w:t>13,713.47</w:t>
            </w:r>
          </w:p>
        </w:tc>
        <w:tc>
          <w:tcPr>
            <w:tcW w:type="dxa" w:w="1560"/>
            <w:tcMar>
              <w:top w:w="100" w:type="dxa"/>
              <w:bottom w:w="100" w:type="dxa"/>
              <w:left w:w="150" w:type="dxa"/>
              <w:right w:w="150" w:type="dxa"/>
            </w:tcMar>
          </w:tcPr>
          <w:p>
            <w:pPr>
              <w:jc w:val="right"/>
            </w:pPr>
            <w:r>
              <w:rPr>
                <w:rFonts w:ascii="Times New Roman" w:hAnsi="Times New Roman"/>
                <w:sz w:val="22"/>
              </w:rPr>
              <w:t>35,000.00</w:t>
            </w:r>
          </w:p>
        </w:tc>
        <w:tc>
          <w:tcPr>
            <w:tcW w:type="dxa" w:w="1560"/>
            <w:tcMar>
              <w:top w:w="100" w:type="dxa"/>
              <w:bottom w:w="100" w:type="dxa"/>
              <w:left w:w="150" w:type="dxa"/>
              <w:right w:w="150" w:type="dxa"/>
            </w:tcMar>
          </w:tcPr>
          <w:p>
            <w:pPr>
              <w:jc w:val="right"/>
            </w:pPr>
            <w:r>
              <w:rPr>
                <w:rFonts w:ascii="Times New Roman" w:hAnsi="Times New Roman"/>
                <w:sz w:val="22"/>
              </w:rPr>
              <w:t>96,000.00</w:t>
            </w:r>
          </w:p>
        </w:tc>
      </w:tr>
      <w:tr>
        <w:tc>
          <w:tcPr>
            <w:tcW w:type="dxa" w:w="1560"/>
            <w:tcMar>
              <w:top w:w="100" w:type="dxa"/>
              <w:bottom w:w="100" w:type="dxa"/>
              <w:left w:w="150" w:type="dxa"/>
              <w:right w:w="150" w:type="dxa"/>
            </w:tcMar>
          </w:tcPr>
          <w:p>
            <w:pPr>
              <w:jc w:val="left"/>
            </w:pPr>
            <w:r>
              <w:rPr>
                <w:rFonts w:ascii="Times New Roman" w:hAnsi="Times New Roman"/>
                <w:sz w:val="22"/>
              </w:rPr>
              <w:t>Education</w:t>
            </w:r>
          </w:p>
        </w:tc>
        <w:tc>
          <w:tcPr>
            <w:tcW w:type="dxa" w:w="1560"/>
            <w:tcMar>
              <w:top w:w="100" w:type="dxa"/>
              <w:bottom w:w="100" w:type="dxa"/>
              <w:left w:w="150" w:type="dxa"/>
              <w:right w:w="150" w:type="dxa"/>
            </w:tcMar>
          </w:tcPr>
          <w:p>
            <w:pPr>
              <w:jc w:val="right"/>
            </w:pPr>
            <w:r>
              <w:rPr>
                <w:rFonts w:ascii="Times New Roman" w:hAnsi="Times New Roman"/>
                <w:sz w:val="22"/>
              </w:rPr>
              <w:t>60</w:t>
            </w:r>
          </w:p>
        </w:tc>
        <w:tc>
          <w:tcPr>
            <w:tcW w:type="dxa" w:w="1560"/>
            <w:tcMar>
              <w:top w:w="100" w:type="dxa"/>
              <w:bottom w:w="100" w:type="dxa"/>
              <w:left w:w="150" w:type="dxa"/>
              <w:right w:w="150" w:type="dxa"/>
            </w:tcMar>
          </w:tcPr>
          <w:p>
            <w:pPr>
              <w:jc w:val="right"/>
            </w:pPr>
            <w:r>
              <w:rPr>
                <w:rFonts w:ascii="Times New Roman" w:hAnsi="Times New Roman"/>
                <w:sz w:val="22"/>
              </w:rPr>
              <w:t>14,528.33</w:t>
            </w:r>
          </w:p>
        </w:tc>
        <w:tc>
          <w:tcPr>
            <w:tcW w:type="dxa" w:w="1560"/>
            <w:tcMar>
              <w:top w:w="100" w:type="dxa"/>
              <w:bottom w:w="100" w:type="dxa"/>
              <w:left w:w="150" w:type="dxa"/>
              <w:right w:w="150" w:type="dxa"/>
            </w:tcMar>
          </w:tcPr>
          <w:p>
            <w:pPr>
              <w:jc w:val="right"/>
            </w:pPr>
            <w:r>
              <w:rPr>
                <w:rFonts w:ascii="Times New Roman" w:hAnsi="Times New Roman"/>
                <w:sz w:val="22"/>
              </w:rPr>
              <w:t>6,830.07</w:t>
            </w:r>
          </w:p>
        </w:tc>
        <w:tc>
          <w:tcPr>
            <w:tcW w:type="dxa" w:w="1560"/>
            <w:tcMar>
              <w:top w:w="100" w:type="dxa"/>
              <w:bottom w:w="100" w:type="dxa"/>
              <w:left w:w="150" w:type="dxa"/>
              <w:right w:w="150" w:type="dxa"/>
            </w:tcMar>
          </w:tcPr>
          <w:p>
            <w:pPr>
              <w:jc w:val="right"/>
            </w:pPr>
            <w:r>
              <w:rPr>
                <w:rFonts w:ascii="Times New Roman" w:hAnsi="Times New Roman"/>
                <w:sz w:val="22"/>
              </w:rPr>
              <w:t>5,000.00</w:t>
            </w:r>
          </w:p>
        </w:tc>
        <w:tc>
          <w:tcPr>
            <w:tcW w:type="dxa" w:w="1560"/>
            <w:tcMar>
              <w:top w:w="100" w:type="dxa"/>
              <w:bottom w:w="100" w:type="dxa"/>
              <w:left w:w="150" w:type="dxa"/>
              <w:right w:w="150" w:type="dxa"/>
            </w:tcMar>
          </w:tcPr>
          <w:p>
            <w:pPr>
              <w:jc w:val="right"/>
            </w:pPr>
            <w:r>
              <w:rPr>
                <w:rFonts w:ascii="Times New Roman" w:hAnsi="Times New Roman"/>
                <w:sz w:val="22"/>
              </w:rPr>
              <w:t>35,000.00</w:t>
            </w:r>
          </w:p>
        </w:tc>
      </w:tr>
      <w:tr>
        <w:tc>
          <w:tcPr>
            <w:tcW w:type="dxa" w:w="1560"/>
            <w:tcMar>
              <w:top w:w="100" w:type="dxa"/>
              <w:bottom w:w="100" w:type="dxa"/>
              <w:left w:w="150" w:type="dxa"/>
              <w:right w:w="150" w:type="dxa"/>
            </w:tcMar>
          </w:tcPr>
          <w:p>
            <w:pPr>
              <w:jc w:val="left"/>
            </w:pPr>
            <w:r>
              <w:rPr>
                <w:rFonts w:ascii="Times New Roman" w:hAnsi="Times New Roman"/>
                <w:sz w:val="22"/>
              </w:rPr>
              <w:t>Health/medical</w:t>
            </w:r>
          </w:p>
        </w:tc>
        <w:tc>
          <w:tcPr>
            <w:tcW w:type="dxa" w:w="1560"/>
            <w:tcMar>
              <w:top w:w="100" w:type="dxa"/>
              <w:bottom w:w="100" w:type="dxa"/>
              <w:left w:w="150" w:type="dxa"/>
              <w:right w:w="150" w:type="dxa"/>
            </w:tcMar>
          </w:tcPr>
          <w:p>
            <w:pPr>
              <w:jc w:val="right"/>
            </w:pPr>
            <w:r>
              <w:rPr>
                <w:rFonts w:ascii="Times New Roman" w:hAnsi="Times New Roman"/>
                <w:sz w:val="22"/>
              </w:rPr>
              <w:t>60</w:t>
            </w:r>
          </w:p>
        </w:tc>
        <w:tc>
          <w:tcPr>
            <w:tcW w:type="dxa" w:w="1560"/>
            <w:tcMar>
              <w:top w:w="100" w:type="dxa"/>
              <w:bottom w:w="100" w:type="dxa"/>
              <w:left w:w="150" w:type="dxa"/>
              <w:right w:w="150" w:type="dxa"/>
            </w:tcMar>
          </w:tcPr>
          <w:p>
            <w:pPr>
              <w:jc w:val="right"/>
            </w:pPr>
            <w:r>
              <w:rPr>
                <w:rFonts w:ascii="Times New Roman" w:hAnsi="Times New Roman"/>
                <w:sz w:val="22"/>
              </w:rPr>
              <w:t>8,631.67</w:t>
            </w:r>
          </w:p>
        </w:tc>
        <w:tc>
          <w:tcPr>
            <w:tcW w:type="dxa" w:w="1560"/>
            <w:tcMar>
              <w:top w:w="100" w:type="dxa"/>
              <w:bottom w:w="100" w:type="dxa"/>
              <w:left w:w="150" w:type="dxa"/>
              <w:right w:w="150" w:type="dxa"/>
            </w:tcMar>
          </w:tcPr>
          <w:p>
            <w:pPr>
              <w:jc w:val="right"/>
            </w:pPr>
            <w:r>
              <w:rPr>
                <w:rFonts w:ascii="Times New Roman" w:hAnsi="Times New Roman"/>
                <w:sz w:val="22"/>
              </w:rPr>
              <w:t>2,592.85</w:t>
            </w:r>
          </w:p>
        </w:tc>
        <w:tc>
          <w:tcPr>
            <w:tcW w:type="dxa" w:w="1560"/>
            <w:tcMar>
              <w:top w:w="100" w:type="dxa"/>
              <w:bottom w:w="100" w:type="dxa"/>
              <w:left w:w="150" w:type="dxa"/>
              <w:right w:w="150" w:type="dxa"/>
            </w:tcMar>
          </w:tcPr>
          <w:p>
            <w:pPr>
              <w:jc w:val="right"/>
            </w:pPr>
            <w:r>
              <w:rPr>
                <w:rFonts w:ascii="Times New Roman" w:hAnsi="Times New Roman"/>
                <w:sz w:val="22"/>
              </w:rPr>
              <w:t>4,000.00</w:t>
            </w:r>
          </w:p>
        </w:tc>
        <w:tc>
          <w:tcPr>
            <w:tcW w:type="dxa" w:w="1560"/>
            <w:tcMar>
              <w:top w:w="100" w:type="dxa"/>
              <w:bottom w:w="100" w:type="dxa"/>
              <w:left w:w="150" w:type="dxa"/>
              <w:right w:w="150" w:type="dxa"/>
            </w:tcMar>
          </w:tcPr>
          <w:p>
            <w:pPr>
              <w:jc w:val="right"/>
            </w:pPr>
            <w:r>
              <w:rPr>
                <w:rFonts w:ascii="Times New Roman" w:hAnsi="Times New Roman"/>
                <w:sz w:val="22"/>
              </w:rPr>
              <w:t>18,000.00</w:t>
            </w:r>
          </w:p>
        </w:tc>
      </w:tr>
      <w:tr>
        <w:tc>
          <w:tcPr>
            <w:tcW w:type="dxa" w:w="1560"/>
            <w:tcMar>
              <w:top w:w="100" w:type="dxa"/>
              <w:bottom w:w="100" w:type="dxa"/>
              <w:left w:w="150" w:type="dxa"/>
              <w:right w:w="150" w:type="dxa"/>
            </w:tcMar>
          </w:tcPr>
          <w:p>
            <w:pPr>
              <w:jc w:val="left"/>
            </w:pPr>
            <w:r>
              <w:rPr>
                <w:rFonts w:ascii="Times New Roman" w:hAnsi="Times New Roman"/>
                <w:sz w:val="22"/>
              </w:rPr>
              <w:t>Housing and utilities</w:t>
            </w:r>
          </w:p>
        </w:tc>
        <w:tc>
          <w:tcPr>
            <w:tcW w:type="dxa" w:w="1560"/>
            <w:tcMar>
              <w:top w:w="100" w:type="dxa"/>
              <w:bottom w:w="100" w:type="dxa"/>
              <w:left w:w="150" w:type="dxa"/>
              <w:right w:w="150" w:type="dxa"/>
            </w:tcMar>
          </w:tcPr>
          <w:p>
            <w:pPr>
              <w:jc w:val="right"/>
            </w:pPr>
            <w:r>
              <w:rPr>
                <w:rFonts w:ascii="Times New Roman" w:hAnsi="Times New Roman"/>
                <w:sz w:val="22"/>
              </w:rPr>
              <w:t>60</w:t>
            </w:r>
          </w:p>
        </w:tc>
        <w:tc>
          <w:tcPr>
            <w:tcW w:type="dxa" w:w="1560"/>
            <w:tcMar>
              <w:top w:w="100" w:type="dxa"/>
              <w:bottom w:w="100" w:type="dxa"/>
              <w:left w:w="150" w:type="dxa"/>
              <w:right w:w="150" w:type="dxa"/>
            </w:tcMar>
          </w:tcPr>
          <w:p>
            <w:pPr>
              <w:jc w:val="right"/>
            </w:pPr>
            <w:r>
              <w:rPr>
                <w:rFonts w:ascii="Times New Roman" w:hAnsi="Times New Roman"/>
                <w:sz w:val="22"/>
              </w:rPr>
              <w:t>18,246.67</w:t>
            </w:r>
          </w:p>
        </w:tc>
        <w:tc>
          <w:tcPr>
            <w:tcW w:type="dxa" w:w="1560"/>
            <w:tcMar>
              <w:top w:w="100" w:type="dxa"/>
              <w:bottom w:w="100" w:type="dxa"/>
              <w:left w:w="150" w:type="dxa"/>
              <w:right w:w="150" w:type="dxa"/>
            </w:tcMar>
          </w:tcPr>
          <w:p>
            <w:pPr>
              <w:jc w:val="right"/>
            </w:pPr>
            <w:r>
              <w:rPr>
                <w:rFonts w:ascii="Times New Roman" w:hAnsi="Times New Roman"/>
                <w:sz w:val="22"/>
              </w:rPr>
              <w:t>5,747.50</w:t>
            </w:r>
          </w:p>
        </w:tc>
        <w:tc>
          <w:tcPr>
            <w:tcW w:type="dxa" w:w="1560"/>
            <w:tcMar>
              <w:top w:w="100" w:type="dxa"/>
              <w:bottom w:w="100" w:type="dxa"/>
              <w:left w:w="150" w:type="dxa"/>
              <w:right w:w="150" w:type="dxa"/>
            </w:tcMar>
          </w:tcPr>
          <w:p>
            <w:pPr>
              <w:jc w:val="right"/>
            </w:pPr>
            <w:r>
              <w:rPr>
                <w:rFonts w:ascii="Times New Roman" w:hAnsi="Times New Roman"/>
                <w:sz w:val="22"/>
              </w:rPr>
              <w:t>8,000.00</w:t>
            </w:r>
          </w:p>
        </w:tc>
        <w:tc>
          <w:tcPr>
            <w:tcW w:type="dxa" w:w="1560"/>
            <w:tcMar>
              <w:top w:w="100" w:type="dxa"/>
              <w:bottom w:w="100" w:type="dxa"/>
              <w:left w:w="150" w:type="dxa"/>
              <w:right w:w="150" w:type="dxa"/>
            </w:tcMar>
          </w:tcPr>
          <w:p>
            <w:pPr>
              <w:jc w:val="right"/>
            </w:pPr>
            <w:r>
              <w:rPr>
                <w:rFonts w:ascii="Times New Roman" w:hAnsi="Times New Roman"/>
                <w:sz w:val="22"/>
              </w:rPr>
              <w:t>35,000.00</w:t>
            </w:r>
          </w:p>
        </w:tc>
      </w:tr>
      <w:tr>
        <w:tc>
          <w:tcPr>
            <w:tcW w:type="dxa" w:w="1560"/>
            <w:tcMar>
              <w:top w:w="100" w:type="dxa"/>
              <w:bottom w:w="100" w:type="dxa"/>
              <w:left w:w="150" w:type="dxa"/>
              <w:right w:w="150" w:type="dxa"/>
            </w:tcMar>
          </w:tcPr>
          <w:p>
            <w:pPr>
              <w:jc w:val="left"/>
            </w:pPr>
            <w:r>
              <w:rPr>
                <w:rFonts w:ascii="Times New Roman" w:hAnsi="Times New Roman"/>
                <w:sz w:val="22"/>
              </w:rPr>
              <w:t>Transportation and other expenses</w:t>
            </w:r>
          </w:p>
        </w:tc>
        <w:tc>
          <w:tcPr>
            <w:tcW w:type="dxa" w:w="1560"/>
            <w:tcMar>
              <w:top w:w="100" w:type="dxa"/>
              <w:bottom w:w="100" w:type="dxa"/>
              <w:left w:w="150" w:type="dxa"/>
              <w:right w:w="150" w:type="dxa"/>
            </w:tcMar>
          </w:tcPr>
          <w:p>
            <w:pPr>
              <w:jc w:val="right"/>
            </w:pPr>
            <w:r>
              <w:rPr>
                <w:rFonts w:ascii="Times New Roman" w:hAnsi="Times New Roman"/>
                <w:sz w:val="22"/>
              </w:rPr>
              <w:t>60</w:t>
            </w:r>
          </w:p>
        </w:tc>
        <w:tc>
          <w:tcPr>
            <w:tcW w:type="dxa" w:w="1560"/>
            <w:tcMar>
              <w:top w:w="100" w:type="dxa"/>
              <w:bottom w:w="100" w:type="dxa"/>
              <w:left w:w="150" w:type="dxa"/>
              <w:right w:w="150" w:type="dxa"/>
            </w:tcMar>
          </w:tcPr>
          <w:p>
            <w:pPr>
              <w:jc w:val="right"/>
            </w:pPr>
            <w:r>
              <w:rPr>
                <w:rFonts w:ascii="Times New Roman" w:hAnsi="Times New Roman"/>
                <w:sz w:val="22"/>
              </w:rPr>
              <w:t>11,875.83</w:t>
            </w:r>
          </w:p>
        </w:tc>
        <w:tc>
          <w:tcPr>
            <w:tcW w:type="dxa" w:w="1560"/>
            <w:tcMar>
              <w:top w:w="100" w:type="dxa"/>
              <w:bottom w:w="100" w:type="dxa"/>
              <w:left w:w="150" w:type="dxa"/>
              <w:right w:w="150" w:type="dxa"/>
            </w:tcMar>
          </w:tcPr>
          <w:p>
            <w:pPr>
              <w:jc w:val="right"/>
            </w:pPr>
            <w:r>
              <w:rPr>
                <w:rFonts w:ascii="Times New Roman" w:hAnsi="Times New Roman"/>
                <w:sz w:val="22"/>
              </w:rPr>
              <w:t>4,128.48</w:t>
            </w:r>
          </w:p>
        </w:tc>
        <w:tc>
          <w:tcPr>
            <w:tcW w:type="dxa" w:w="1560"/>
            <w:tcMar>
              <w:top w:w="100" w:type="dxa"/>
              <w:bottom w:w="100" w:type="dxa"/>
              <w:left w:w="150" w:type="dxa"/>
              <w:right w:w="150" w:type="dxa"/>
            </w:tcMar>
          </w:tcPr>
          <w:p>
            <w:pPr>
              <w:jc w:val="right"/>
            </w:pPr>
            <w:r>
              <w:rPr>
                <w:rFonts w:ascii="Times New Roman" w:hAnsi="Times New Roman"/>
                <w:sz w:val="22"/>
              </w:rPr>
              <w:t>6,000.00</w:t>
            </w:r>
          </w:p>
        </w:tc>
        <w:tc>
          <w:tcPr>
            <w:tcW w:type="dxa" w:w="1560"/>
            <w:tcMar>
              <w:top w:w="100" w:type="dxa"/>
              <w:bottom w:w="100" w:type="dxa"/>
              <w:left w:w="150" w:type="dxa"/>
              <w:right w:w="150" w:type="dxa"/>
            </w:tcMar>
          </w:tcPr>
          <w:p>
            <w:pPr>
              <w:jc w:val="right"/>
            </w:pPr>
            <w:r>
              <w:rPr>
                <w:rFonts w:ascii="Times New Roman" w:hAnsi="Times New Roman"/>
                <w:sz w:val="22"/>
              </w:rPr>
              <w:t>22,000.00</w:t>
            </w:r>
          </w:p>
        </w:tc>
      </w:tr>
      <w:tr>
        <w:tc>
          <w:tcPr>
            <w:tcW w:type="dxa" w:w="1560"/>
            <w:tcMar>
              <w:top w:w="100" w:type="dxa"/>
              <w:bottom w:w="100" w:type="dxa"/>
              <w:left w:w="150" w:type="dxa"/>
              <w:right w:w="150" w:type="dxa"/>
            </w:tcMar>
          </w:tcPr>
          <w:p>
            <w:pPr>
              <w:jc w:val="left"/>
            </w:pPr>
            <w:r>
              <w:rPr>
                <w:rFonts w:ascii="Times New Roman" w:hAnsi="Times New Roman"/>
                <w:b/>
                <w:sz w:val="22"/>
              </w:rPr>
              <w:t>Total monthly household expenditure</w:t>
            </w:r>
          </w:p>
        </w:tc>
        <w:tc>
          <w:tcPr>
            <w:tcW w:type="dxa" w:w="1560"/>
            <w:tcMar>
              <w:top w:w="100" w:type="dxa"/>
              <w:bottom w:w="100" w:type="dxa"/>
              <w:left w:w="150" w:type="dxa"/>
              <w:right w:w="150" w:type="dxa"/>
            </w:tcMar>
          </w:tcPr>
          <w:p>
            <w:pPr>
              <w:jc w:val="right"/>
            </w:pPr>
            <w:r>
              <w:rPr>
                <w:rFonts w:ascii="Times New Roman" w:hAnsi="Times New Roman"/>
                <w:b/>
                <w:sz w:val="22"/>
              </w:rPr>
              <w:t>60</w:t>
            </w:r>
          </w:p>
        </w:tc>
        <w:tc>
          <w:tcPr>
            <w:tcW w:type="dxa" w:w="1560"/>
            <w:tcMar>
              <w:top w:w="100" w:type="dxa"/>
              <w:bottom w:w="100" w:type="dxa"/>
              <w:left w:w="150" w:type="dxa"/>
              <w:right w:w="150" w:type="dxa"/>
            </w:tcMar>
          </w:tcPr>
          <w:p>
            <w:pPr>
              <w:jc w:val="right"/>
            </w:pPr>
            <w:r>
              <w:rPr>
                <w:rFonts w:ascii="Times New Roman" w:hAnsi="Times New Roman"/>
                <w:b/>
                <w:sz w:val="22"/>
              </w:rPr>
              <w:t>115,837.50</w:t>
            </w:r>
          </w:p>
        </w:tc>
        <w:tc>
          <w:tcPr>
            <w:tcW w:type="dxa" w:w="1560"/>
            <w:tcMar>
              <w:top w:w="100" w:type="dxa"/>
              <w:bottom w:w="100" w:type="dxa"/>
              <w:left w:w="150" w:type="dxa"/>
              <w:right w:w="150" w:type="dxa"/>
            </w:tcMar>
          </w:tcPr>
          <w:p>
            <w:pPr>
              <w:jc w:val="right"/>
            </w:pPr>
            <w:r>
              <w:rPr>
                <w:rFonts w:ascii="Times New Roman" w:hAnsi="Times New Roman"/>
                <w:b/>
                <w:sz w:val="22"/>
              </w:rPr>
              <w:t>27,652.42</w:t>
            </w:r>
          </w:p>
        </w:tc>
        <w:tc>
          <w:tcPr>
            <w:tcW w:type="dxa" w:w="1560"/>
            <w:tcMar>
              <w:top w:w="100" w:type="dxa"/>
              <w:bottom w:w="100" w:type="dxa"/>
              <w:left w:w="150" w:type="dxa"/>
              <w:right w:w="150" w:type="dxa"/>
            </w:tcMar>
          </w:tcPr>
          <w:p>
            <w:pPr>
              <w:jc w:val="right"/>
            </w:pPr>
            <w:r>
              <w:rPr>
                <w:rFonts w:ascii="Times New Roman" w:hAnsi="Times New Roman"/>
                <w:b/>
                <w:sz w:val="22"/>
              </w:rPr>
              <w:t>65,000.00</w:t>
            </w:r>
          </w:p>
        </w:tc>
        <w:tc>
          <w:tcPr>
            <w:tcW w:type="dxa" w:w="1560"/>
            <w:tcMar>
              <w:top w:w="100" w:type="dxa"/>
              <w:bottom w:w="100" w:type="dxa"/>
              <w:left w:w="150" w:type="dxa"/>
              <w:right w:w="150" w:type="dxa"/>
            </w:tcMar>
          </w:tcPr>
          <w:p>
            <w:pPr>
              <w:jc w:val="right"/>
            </w:pPr>
            <w:r>
              <w:rPr>
                <w:rFonts w:ascii="Times New Roman" w:hAnsi="Times New Roman"/>
                <w:b/>
                <w:sz w:val="22"/>
              </w:rPr>
              <w:t>223,500.00</w:t>
            </w:r>
          </w:p>
        </w:tc>
      </w:tr>
    </w:tbl>
    <w:p>
      <w:pPr>
        <w:spacing w:before="80"/>
      </w:pPr>
    </w:p>
    <w:p>
      <w:r>
        <w:t>Table 4.3 presents the descriptive statistics for average monthly household expenditure across five major consumption categories and total household expenditure among sampled yam farmers in Akpabuyo LGA (N = 60). All expenditure values are expressed in Nigerian Naira (₦).</w:t>
        <w:br/>
        <w:br/>
        <w:t>The results reveal that food and groceries represent by far the largest single monthly expenditure commitment among farming households, with a mean value of ₦60,703.33 (SD = ₦13,713.47). Monthly food expenditure ranged from a minimum of ₦35,000.00 to a maximum of ₦96,000.00. This substantial allocation to food underscores the primary focus of rural agricultural households on securing daily subsistence and meeting dietary requirements.</w:t>
        <w:br/>
        <w:br/>
        <w:t>Housing and utility expenses constitute the second largest expenditure component, with a mean of ₦18,246.67 (SD = ₦5,747.50), ranging between ₦8,000.00 and ₦35,000.00. Education expenditure averages ₦14,528.33 monthly (SD = ₦6,830.07), with values spanning ₦5,000.00 to ₦35,000.00, reflecting household investment in formal schooling for dependents. Transportation and other miscellaneous expenses record a mean of ₦11,875.83 (SD = ₦4,128.48), ranging from ₦6,000.00 to ₦22,000.00, accommodating farm-to-market mobility and operational travel. Health and medical care accounts for the lowest average expenditure item at ₦8,631.67 monthly (SD = ₦2,592.85), spanning ₦4,000.00 to ₦18,000.00.</w:t>
        <w:br/>
        <w:br/>
        <w:t>Overall, total monthly household expenditure averages ₦115,837.50 (SD = ₦27,652.42), with a minimum observed total expenditure of ₦65,000.00 and a maximum of ₦223,500.00. The dispersion across households reflects differences in household size, income levels, and consumption standards within the farming community.</w:t>
        <w:br/>
        <w:br/>
        <w:t>Data Audit &amp; Expenditure Reconciliation Note: A pre-analysis audit comparing the sum of the five individual expenditure components against the respondent-reported total monthly expenditure demonstrated complete mathematical agreement for 56 out of 60 households (93.3%). Minor rounding differences occurred in 3 households (ranging from -₦400 to +₦1,000), while 1 household (Respondent S/N 59.0) reported a total expenditure of ₦223,500 compared to a component sum of ₦113,500. Across all 60 households, the mean calculated component sum is ₦113,985.83 compared to the mean reported total expenditure of ₦115,837.50 (a mean net discrepancy of ₦1,851.67 per household). Sensitivity testing confirmed that using the component sum yields a 98.3% classification agreement (59 out of 60 households). The respondent-reported total expenditure was maintained as the authoritative welfare metric for Analysis 3.</w:t>
      </w:r>
    </w:p>
    <w:p>
      <w:pPr>
        <w:keepNext/>
        <w:spacing w:before="280" w:after="120"/>
      </w:pPr>
      <w:r>
        <w:rPr>
          <w:rFonts w:ascii="Times New Roman" w:hAnsi="Times New Roman"/>
          <w:b/>
          <w:color w:val="1F4E78"/>
          <w:sz w:val="28"/>
        </w:rPr>
        <w:t>4.6 Per-Capita Monthly Household Expenditure</w:t>
      </w:r>
    </w:p>
    <w:p>
      <w:r>
        <w:rPr>
          <w:b/>
        </w:rPr>
        <w:t>Table 4.4: Per-Capita Monthly Household Expenditure of Yam Farmers in Akpabuyo LGA</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337"/>
        <w:gridCol w:w="1337"/>
        <w:gridCol w:w="1337"/>
        <w:gridCol w:w="1337"/>
        <w:gridCol w:w="1337"/>
        <w:gridCol w:w="1337"/>
        <w:gridCol w:w="1337"/>
      </w:tblGrid>
      <w:tr>
        <w:tc>
          <w:tcPr>
            <w:tcW w:type="dxa" w:w="1337"/>
            <w:tcBorders>
              <w:bottom w:val="single" w:sz="8" w:space="0" w:color="000000"/>
            </w:tcBorders>
            <w:tcMar>
              <w:top w:w="100" w:type="dxa"/>
              <w:bottom w:w="100" w:type="dxa"/>
              <w:left w:w="150" w:type="dxa"/>
              <w:right w:w="150" w:type="dxa"/>
            </w:tcMar>
          </w:tcPr>
          <w:p>
            <w:pPr>
              <w:jc w:val="left"/>
            </w:pPr>
            <w:r>
              <w:rPr>
                <w:rFonts w:ascii="Times New Roman" w:hAnsi="Times New Roman"/>
                <w:b/>
                <w:sz w:val="22"/>
              </w:rPr>
              <w:t>Variable</w:t>
            </w:r>
          </w:p>
        </w:tc>
        <w:tc>
          <w:tcPr>
            <w:tcW w:type="dxa" w:w="1337"/>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N</w:t>
            </w:r>
          </w:p>
        </w:tc>
        <w:tc>
          <w:tcPr>
            <w:tcW w:type="dxa" w:w="1337"/>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Mean (₦)</w:t>
            </w:r>
          </w:p>
        </w:tc>
        <w:tc>
          <w:tcPr>
            <w:tcW w:type="dxa" w:w="1337"/>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Median (₦)</w:t>
            </w:r>
          </w:p>
        </w:tc>
        <w:tc>
          <w:tcPr>
            <w:tcW w:type="dxa" w:w="1337"/>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Standard deviation (₦)</w:t>
            </w:r>
          </w:p>
        </w:tc>
        <w:tc>
          <w:tcPr>
            <w:tcW w:type="dxa" w:w="1337"/>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Minimum (₦)</w:t>
            </w:r>
          </w:p>
        </w:tc>
        <w:tc>
          <w:tcPr>
            <w:tcW w:type="dxa" w:w="1337"/>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Maximum (₦)</w:t>
            </w:r>
          </w:p>
        </w:tc>
      </w:tr>
      <w:tr>
        <w:tc>
          <w:tcPr>
            <w:tcW w:type="dxa" w:w="1337"/>
            <w:tcMar>
              <w:top w:w="100" w:type="dxa"/>
              <w:bottom w:w="100" w:type="dxa"/>
              <w:left w:w="150" w:type="dxa"/>
              <w:right w:w="150" w:type="dxa"/>
            </w:tcMar>
          </w:tcPr>
          <w:p>
            <w:pPr>
              <w:jc w:val="left"/>
            </w:pPr>
            <w:r>
              <w:rPr>
                <w:rFonts w:ascii="Times New Roman" w:hAnsi="Times New Roman"/>
                <w:sz w:val="22"/>
              </w:rPr>
              <w:t>Per-capita monthly household expenditure</w:t>
            </w:r>
          </w:p>
        </w:tc>
        <w:tc>
          <w:tcPr>
            <w:tcW w:type="dxa" w:w="1337"/>
            <w:tcMar>
              <w:top w:w="100" w:type="dxa"/>
              <w:bottom w:w="100" w:type="dxa"/>
              <w:left w:w="150" w:type="dxa"/>
              <w:right w:w="150" w:type="dxa"/>
            </w:tcMar>
          </w:tcPr>
          <w:p>
            <w:pPr>
              <w:jc w:val="right"/>
            </w:pPr>
            <w:r>
              <w:rPr>
                <w:rFonts w:ascii="Times New Roman" w:hAnsi="Times New Roman"/>
                <w:sz w:val="22"/>
              </w:rPr>
              <w:t>60</w:t>
            </w:r>
          </w:p>
        </w:tc>
        <w:tc>
          <w:tcPr>
            <w:tcW w:type="dxa" w:w="1337"/>
            <w:tcMar>
              <w:top w:w="100" w:type="dxa"/>
              <w:bottom w:w="100" w:type="dxa"/>
              <w:left w:w="150" w:type="dxa"/>
              <w:right w:w="150" w:type="dxa"/>
            </w:tcMar>
          </w:tcPr>
          <w:p>
            <w:pPr>
              <w:jc w:val="right"/>
            </w:pPr>
            <w:r>
              <w:rPr>
                <w:rFonts w:ascii="Times New Roman" w:hAnsi="Times New Roman"/>
                <w:sz w:val="22"/>
              </w:rPr>
              <w:t>20,289.03</w:t>
            </w:r>
          </w:p>
        </w:tc>
        <w:tc>
          <w:tcPr>
            <w:tcW w:type="dxa" w:w="1337"/>
            <w:tcMar>
              <w:top w:w="100" w:type="dxa"/>
              <w:bottom w:w="100" w:type="dxa"/>
              <w:left w:w="150" w:type="dxa"/>
              <w:right w:w="150" w:type="dxa"/>
            </w:tcMar>
          </w:tcPr>
          <w:p>
            <w:pPr>
              <w:jc w:val="right"/>
            </w:pPr>
            <w:r>
              <w:rPr>
                <w:rFonts w:ascii="Times New Roman" w:hAnsi="Times New Roman"/>
                <w:sz w:val="22"/>
              </w:rPr>
              <w:t>17,833.33</w:t>
            </w:r>
          </w:p>
        </w:tc>
        <w:tc>
          <w:tcPr>
            <w:tcW w:type="dxa" w:w="1337"/>
            <w:tcMar>
              <w:top w:w="100" w:type="dxa"/>
              <w:bottom w:w="100" w:type="dxa"/>
              <w:left w:w="150" w:type="dxa"/>
              <w:right w:w="150" w:type="dxa"/>
            </w:tcMar>
          </w:tcPr>
          <w:p>
            <w:pPr>
              <w:jc w:val="right"/>
            </w:pPr>
            <w:r>
              <w:rPr>
                <w:rFonts w:ascii="Times New Roman" w:hAnsi="Times New Roman"/>
                <w:sz w:val="22"/>
              </w:rPr>
              <w:t>8,181.80</w:t>
            </w:r>
          </w:p>
        </w:tc>
        <w:tc>
          <w:tcPr>
            <w:tcW w:type="dxa" w:w="1337"/>
            <w:tcMar>
              <w:top w:w="100" w:type="dxa"/>
              <w:bottom w:w="100" w:type="dxa"/>
              <w:left w:w="150" w:type="dxa"/>
              <w:right w:w="150" w:type="dxa"/>
            </w:tcMar>
          </w:tcPr>
          <w:p>
            <w:pPr>
              <w:jc w:val="right"/>
            </w:pPr>
            <w:r>
              <w:rPr>
                <w:rFonts w:ascii="Times New Roman" w:hAnsi="Times New Roman"/>
                <w:sz w:val="22"/>
              </w:rPr>
              <w:t>10,833.33</w:t>
            </w:r>
          </w:p>
        </w:tc>
        <w:tc>
          <w:tcPr>
            <w:tcW w:type="dxa" w:w="1337"/>
            <w:tcMar>
              <w:top w:w="100" w:type="dxa"/>
              <w:bottom w:w="100" w:type="dxa"/>
              <w:left w:w="150" w:type="dxa"/>
              <w:right w:w="150" w:type="dxa"/>
            </w:tcMar>
          </w:tcPr>
          <w:p>
            <w:pPr>
              <w:jc w:val="right"/>
            </w:pPr>
            <w:r>
              <w:rPr>
                <w:rFonts w:ascii="Times New Roman" w:hAnsi="Times New Roman"/>
                <w:sz w:val="22"/>
              </w:rPr>
              <w:t>42,000.00</w:t>
            </w:r>
          </w:p>
        </w:tc>
      </w:tr>
    </w:tbl>
    <w:p>
      <w:pPr>
        <w:spacing w:before="80"/>
      </w:pPr>
    </w:p>
    <w:p>
      <w:r>
        <w:t>Table 4.4 presents the derived per-capita monthly household expenditure, calculated by dividing total monthly household expenditure by household size for each respondent. Evaluating expenditure on a per-capita basis is standard in welfare analysis because absolute household expenditure does not account for variations in demographic burden and household size across farming families.</w:t>
        <w:br/>
        <w:br/>
        <w:t>The mean per-capita monthly household expenditure is ₦20,289.03 with a standard deviation of ₦8,181.80, ranging from a minimum of ₦10,833.33 to a maximum of ₦42,000.00. The median per-capita monthly expenditure is ₦17,833.33. The fact that the median is lower than the mean indicates a right-skewed expenditure distribution, where a minority of households with higher total expenditures pull the arithmetic mean upward. Consequently, the median value (₦17,833.33) serves as a robust measure of central tendency for typical per-individual monthly consumption in the study area. Adjusting for household size reveals that larger households with high aggregate expenditure may actually experience lower individual welfare levels when resources are distributed among numerous members.</w:t>
      </w:r>
    </w:p>
    <w:p>
      <w:pPr>
        <w:keepNext/>
        <w:spacing w:before="280" w:after="120"/>
      </w:pPr>
      <w:r>
        <w:rPr>
          <w:rFonts w:ascii="Times New Roman" w:hAnsi="Times New Roman"/>
          <w:b/>
          <w:color w:val="1F4E78"/>
          <w:sz w:val="28"/>
        </w:rPr>
        <w:t>4.7 Composition of Monthly Household Expenditure</w:t>
      </w:r>
    </w:p>
    <w:p>
      <w:r>
        <w:rPr>
          <w:b/>
        </w:rPr>
        <w:t>Table 4.5: Composition of Monthly Household Expenditure among Yam Farmers</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3120"/>
        <w:gridCol w:w="3120"/>
        <w:gridCol w:w="3120"/>
      </w:tblGrid>
      <w:tr>
        <w:tc>
          <w:tcPr>
            <w:tcW w:type="dxa" w:w="3120"/>
            <w:tcBorders>
              <w:bottom w:val="single" w:sz="8" w:space="0" w:color="000000"/>
            </w:tcBorders>
            <w:tcMar>
              <w:top w:w="100" w:type="dxa"/>
              <w:bottom w:w="100" w:type="dxa"/>
              <w:left w:w="150" w:type="dxa"/>
              <w:right w:w="150" w:type="dxa"/>
            </w:tcMar>
          </w:tcPr>
          <w:p>
            <w:pPr>
              <w:jc w:val="left"/>
            </w:pPr>
            <w:r>
              <w:rPr>
                <w:rFonts w:ascii="Times New Roman" w:hAnsi="Times New Roman"/>
                <w:b/>
                <w:sz w:val="22"/>
              </w:rPr>
              <w:t>Expenditure category</w:t>
            </w:r>
          </w:p>
        </w:tc>
        <w:tc>
          <w:tcPr>
            <w:tcW w:type="dxa" w:w="312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Mean expenditure (₦)</w:t>
            </w:r>
          </w:p>
        </w:tc>
        <w:tc>
          <w:tcPr>
            <w:tcW w:type="dxa" w:w="312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Mean share of total expenditure (%)</w:t>
            </w:r>
          </w:p>
        </w:tc>
      </w:tr>
      <w:tr>
        <w:tc>
          <w:tcPr>
            <w:tcW w:type="dxa" w:w="3120"/>
            <w:tcMar>
              <w:top w:w="100" w:type="dxa"/>
              <w:bottom w:w="100" w:type="dxa"/>
              <w:left w:w="150" w:type="dxa"/>
              <w:right w:w="150" w:type="dxa"/>
            </w:tcMar>
          </w:tcPr>
          <w:p>
            <w:pPr>
              <w:jc w:val="left"/>
            </w:pPr>
            <w:r>
              <w:rPr>
                <w:rFonts w:ascii="Times New Roman" w:hAnsi="Times New Roman"/>
                <w:sz w:val="22"/>
              </w:rPr>
              <w:t>Food and groceries</w:t>
            </w:r>
          </w:p>
        </w:tc>
        <w:tc>
          <w:tcPr>
            <w:tcW w:type="dxa" w:w="3120"/>
            <w:tcMar>
              <w:top w:w="100" w:type="dxa"/>
              <w:bottom w:w="100" w:type="dxa"/>
              <w:left w:w="150" w:type="dxa"/>
              <w:right w:w="150" w:type="dxa"/>
            </w:tcMar>
          </w:tcPr>
          <w:p>
            <w:pPr>
              <w:jc w:val="right"/>
            </w:pPr>
            <w:r>
              <w:rPr>
                <w:rFonts w:ascii="Times New Roman" w:hAnsi="Times New Roman"/>
                <w:sz w:val="22"/>
              </w:rPr>
              <w:t>60,703.33</w:t>
            </w:r>
          </w:p>
        </w:tc>
        <w:tc>
          <w:tcPr>
            <w:tcW w:type="dxa" w:w="3120"/>
            <w:tcMar>
              <w:top w:w="100" w:type="dxa"/>
              <w:bottom w:w="100" w:type="dxa"/>
              <w:left w:w="150" w:type="dxa"/>
              <w:right w:w="150" w:type="dxa"/>
            </w:tcMar>
          </w:tcPr>
          <w:p>
            <w:pPr>
              <w:jc w:val="right"/>
            </w:pPr>
            <w:r>
              <w:rPr>
                <w:rFonts w:ascii="Times New Roman" w:hAnsi="Times New Roman"/>
                <w:sz w:val="22"/>
              </w:rPr>
              <w:t>53.35</w:t>
            </w:r>
          </w:p>
        </w:tc>
      </w:tr>
      <w:tr>
        <w:tc>
          <w:tcPr>
            <w:tcW w:type="dxa" w:w="3120"/>
            <w:tcMar>
              <w:top w:w="100" w:type="dxa"/>
              <w:bottom w:w="100" w:type="dxa"/>
              <w:left w:w="150" w:type="dxa"/>
              <w:right w:w="150" w:type="dxa"/>
            </w:tcMar>
          </w:tcPr>
          <w:p>
            <w:pPr>
              <w:jc w:val="left"/>
            </w:pPr>
            <w:r>
              <w:rPr>
                <w:rFonts w:ascii="Times New Roman" w:hAnsi="Times New Roman"/>
                <w:sz w:val="22"/>
              </w:rPr>
              <w:t>Education</w:t>
            </w:r>
          </w:p>
        </w:tc>
        <w:tc>
          <w:tcPr>
            <w:tcW w:type="dxa" w:w="3120"/>
            <w:tcMar>
              <w:top w:w="100" w:type="dxa"/>
              <w:bottom w:w="100" w:type="dxa"/>
              <w:left w:w="150" w:type="dxa"/>
              <w:right w:w="150" w:type="dxa"/>
            </w:tcMar>
          </w:tcPr>
          <w:p>
            <w:pPr>
              <w:jc w:val="right"/>
            </w:pPr>
            <w:r>
              <w:rPr>
                <w:rFonts w:ascii="Times New Roman" w:hAnsi="Times New Roman"/>
                <w:sz w:val="22"/>
              </w:rPr>
              <w:t>14,528.33</w:t>
            </w:r>
          </w:p>
        </w:tc>
        <w:tc>
          <w:tcPr>
            <w:tcW w:type="dxa" w:w="3120"/>
            <w:tcMar>
              <w:top w:w="100" w:type="dxa"/>
              <w:bottom w:w="100" w:type="dxa"/>
              <w:left w:w="150" w:type="dxa"/>
              <w:right w:w="150" w:type="dxa"/>
            </w:tcMar>
          </w:tcPr>
          <w:p>
            <w:pPr>
              <w:jc w:val="right"/>
            </w:pPr>
            <w:r>
              <w:rPr>
                <w:rFonts w:ascii="Times New Roman" w:hAnsi="Times New Roman"/>
                <w:sz w:val="22"/>
              </w:rPr>
              <w:t>12.32</w:t>
            </w:r>
          </w:p>
        </w:tc>
      </w:tr>
      <w:tr>
        <w:tc>
          <w:tcPr>
            <w:tcW w:type="dxa" w:w="3120"/>
            <w:tcMar>
              <w:top w:w="100" w:type="dxa"/>
              <w:bottom w:w="100" w:type="dxa"/>
              <w:left w:w="150" w:type="dxa"/>
              <w:right w:w="150" w:type="dxa"/>
            </w:tcMar>
          </w:tcPr>
          <w:p>
            <w:pPr>
              <w:jc w:val="left"/>
            </w:pPr>
            <w:r>
              <w:rPr>
                <w:rFonts w:ascii="Times New Roman" w:hAnsi="Times New Roman"/>
                <w:sz w:val="22"/>
              </w:rPr>
              <w:t>Health/medical</w:t>
            </w:r>
          </w:p>
        </w:tc>
        <w:tc>
          <w:tcPr>
            <w:tcW w:type="dxa" w:w="3120"/>
            <w:tcMar>
              <w:top w:w="100" w:type="dxa"/>
              <w:bottom w:w="100" w:type="dxa"/>
              <w:left w:w="150" w:type="dxa"/>
              <w:right w:w="150" w:type="dxa"/>
            </w:tcMar>
          </w:tcPr>
          <w:p>
            <w:pPr>
              <w:jc w:val="right"/>
            </w:pPr>
            <w:r>
              <w:rPr>
                <w:rFonts w:ascii="Times New Roman" w:hAnsi="Times New Roman"/>
                <w:sz w:val="22"/>
              </w:rPr>
              <w:t>8,631.67</w:t>
            </w:r>
          </w:p>
        </w:tc>
        <w:tc>
          <w:tcPr>
            <w:tcW w:type="dxa" w:w="3120"/>
            <w:tcMar>
              <w:top w:w="100" w:type="dxa"/>
              <w:bottom w:w="100" w:type="dxa"/>
              <w:left w:w="150" w:type="dxa"/>
              <w:right w:w="150" w:type="dxa"/>
            </w:tcMar>
          </w:tcPr>
          <w:p>
            <w:pPr>
              <w:jc w:val="right"/>
            </w:pPr>
            <w:r>
              <w:rPr>
                <w:rFonts w:ascii="Times New Roman" w:hAnsi="Times New Roman"/>
                <w:sz w:val="22"/>
              </w:rPr>
              <w:t>7.41</w:t>
            </w:r>
          </w:p>
        </w:tc>
      </w:tr>
      <w:tr>
        <w:tc>
          <w:tcPr>
            <w:tcW w:type="dxa" w:w="3120"/>
            <w:tcMar>
              <w:top w:w="100" w:type="dxa"/>
              <w:bottom w:w="100" w:type="dxa"/>
              <w:left w:w="150" w:type="dxa"/>
              <w:right w:w="150" w:type="dxa"/>
            </w:tcMar>
          </w:tcPr>
          <w:p>
            <w:pPr>
              <w:jc w:val="left"/>
            </w:pPr>
            <w:r>
              <w:rPr>
                <w:rFonts w:ascii="Times New Roman" w:hAnsi="Times New Roman"/>
                <w:sz w:val="22"/>
              </w:rPr>
              <w:t>Housing and utilities</w:t>
            </w:r>
          </w:p>
        </w:tc>
        <w:tc>
          <w:tcPr>
            <w:tcW w:type="dxa" w:w="3120"/>
            <w:tcMar>
              <w:top w:w="100" w:type="dxa"/>
              <w:bottom w:w="100" w:type="dxa"/>
              <w:left w:w="150" w:type="dxa"/>
              <w:right w:w="150" w:type="dxa"/>
            </w:tcMar>
          </w:tcPr>
          <w:p>
            <w:pPr>
              <w:jc w:val="right"/>
            </w:pPr>
            <w:r>
              <w:rPr>
                <w:rFonts w:ascii="Times New Roman" w:hAnsi="Times New Roman"/>
                <w:sz w:val="22"/>
              </w:rPr>
              <w:t>18,246.67</w:t>
            </w:r>
          </w:p>
        </w:tc>
        <w:tc>
          <w:tcPr>
            <w:tcW w:type="dxa" w:w="3120"/>
            <w:tcMar>
              <w:top w:w="100" w:type="dxa"/>
              <w:bottom w:w="100" w:type="dxa"/>
              <w:left w:w="150" w:type="dxa"/>
              <w:right w:w="150" w:type="dxa"/>
            </w:tcMar>
          </w:tcPr>
          <w:p>
            <w:pPr>
              <w:jc w:val="right"/>
            </w:pPr>
            <w:r>
              <w:rPr>
                <w:rFonts w:ascii="Times New Roman" w:hAnsi="Times New Roman"/>
                <w:sz w:val="22"/>
              </w:rPr>
              <w:t>15.80</w:t>
            </w:r>
          </w:p>
        </w:tc>
      </w:tr>
      <w:tr>
        <w:tc>
          <w:tcPr>
            <w:tcW w:type="dxa" w:w="3120"/>
            <w:tcMar>
              <w:top w:w="100" w:type="dxa"/>
              <w:bottom w:w="100" w:type="dxa"/>
              <w:left w:w="150" w:type="dxa"/>
              <w:right w:w="150" w:type="dxa"/>
            </w:tcMar>
          </w:tcPr>
          <w:p>
            <w:pPr>
              <w:jc w:val="left"/>
            </w:pPr>
            <w:r>
              <w:rPr>
                <w:rFonts w:ascii="Times New Roman" w:hAnsi="Times New Roman"/>
                <w:sz w:val="22"/>
              </w:rPr>
              <w:t>Transportation and other expenses</w:t>
            </w:r>
          </w:p>
        </w:tc>
        <w:tc>
          <w:tcPr>
            <w:tcW w:type="dxa" w:w="3120"/>
            <w:tcMar>
              <w:top w:w="100" w:type="dxa"/>
              <w:bottom w:w="100" w:type="dxa"/>
              <w:left w:w="150" w:type="dxa"/>
              <w:right w:w="150" w:type="dxa"/>
            </w:tcMar>
          </w:tcPr>
          <w:p>
            <w:pPr>
              <w:jc w:val="right"/>
            </w:pPr>
            <w:r>
              <w:rPr>
                <w:rFonts w:ascii="Times New Roman" w:hAnsi="Times New Roman"/>
                <w:sz w:val="22"/>
              </w:rPr>
              <w:t>11,875.83</w:t>
            </w:r>
          </w:p>
        </w:tc>
        <w:tc>
          <w:tcPr>
            <w:tcW w:type="dxa" w:w="3120"/>
            <w:tcMar>
              <w:top w:w="100" w:type="dxa"/>
              <w:bottom w:w="100" w:type="dxa"/>
              <w:left w:w="150" w:type="dxa"/>
              <w:right w:w="150" w:type="dxa"/>
            </w:tcMar>
          </w:tcPr>
          <w:p>
            <w:pPr>
              <w:jc w:val="right"/>
            </w:pPr>
            <w:r>
              <w:rPr>
                <w:rFonts w:ascii="Times New Roman" w:hAnsi="Times New Roman"/>
                <w:sz w:val="22"/>
              </w:rPr>
              <w:t>10.28</w:t>
            </w:r>
          </w:p>
        </w:tc>
      </w:tr>
    </w:tbl>
    <w:p>
      <w:pPr>
        <w:spacing w:before="80"/>
      </w:pPr>
    </w:p>
    <w:p>
      <w:r>
        <w:t>Table 4.5 displays the budgetary composition of monthly household expenditure among yam farmers, expressed as the mean share of total expenditure allocated to each consumption category across respondents. Food and groceries absorb the predominant share of household budgets, accounting for an average of 53.35% of total monthly expenditure. According to Engel's Law, a high budget share devoted to food is a classic structural indicator of agrarian households where subsistence needs dominate household allocation decisions.</w:t>
        <w:br/>
        <w:br/>
        <w:t>Housing and utilities represent the second largest budget share at 15.80%, followed by education at 12.32%. Transportation and other expenses account for 10.28% of household expenditure, while health and medical care constitutes 7.41%. The cumulative average shares across individual respondents sum to 99.16%, reflecting minor variations between respondent-level reported totals and sub-item sums. These relative expenditure shares demonstrate that non-food developmental and investment categories (such as education and healthcare combined) account for less than one-fifth (19.73%) of total household spending.</w:t>
      </w:r>
    </w:p>
    <w:p>
      <w:pPr>
        <w:keepNext/>
        <w:spacing w:before="280" w:after="120"/>
      </w:pPr>
      <w:r>
        <w:rPr>
          <w:rFonts w:ascii="Times New Roman" w:hAnsi="Times New Roman"/>
          <w:b/>
          <w:color w:val="1F4E78"/>
          <w:sz w:val="28"/>
        </w:rPr>
        <w:t>4.8 Graphical Representation of Mean Monthly Expenditure</w:t>
      </w:r>
    </w:p>
    <w:p>
      <w:pPr>
        <w:jc w:val="center"/>
      </w:pPr>
      <w:r>
        <w:drawing>
          <wp:inline xmlns:a="http://schemas.openxmlformats.org/drawingml/2006/main" xmlns:pic="http://schemas.openxmlformats.org/drawingml/2006/picture">
            <wp:extent cx="5303520" cy="2833445"/>
            <wp:docPr id="1" name="Picture 1"/>
            <wp:cNvGraphicFramePr>
              <a:graphicFrameLocks noChangeAspect="1"/>
            </wp:cNvGraphicFramePr>
            <a:graphic>
              <a:graphicData uri="http://schemas.openxmlformats.org/drawingml/2006/picture">
                <pic:pic>
                  <pic:nvPicPr>
                    <pic:cNvPr id="0" name="Figure_4_2_Mean_Monthly_Expenditure.png"/>
                    <pic:cNvPicPr/>
                  </pic:nvPicPr>
                  <pic:blipFill>
                    <a:blip r:embed="rId9"/>
                    <a:stretch>
                      <a:fillRect/>
                    </a:stretch>
                  </pic:blipFill>
                  <pic:spPr>
                    <a:xfrm>
                      <a:off x="0" y="0"/>
                      <a:ext cx="5303520" cy="2833445"/>
                    </a:xfrm>
                    <a:prstGeom prst="rect"/>
                  </pic:spPr>
                </pic:pic>
              </a:graphicData>
            </a:graphic>
          </wp:inline>
        </w:drawing>
      </w:r>
    </w:p>
    <w:p>
      <w:pPr>
        <w:jc w:val="center"/>
      </w:pPr>
      <w:r>
        <w:rPr>
          <w:rFonts w:ascii="Times New Roman" w:hAnsi="Times New Roman"/>
          <w:b/>
          <w:sz w:val="22"/>
        </w:rPr>
        <w:t>Figure 4.2: Mean Monthly Household Expenditure by Category among Yam Farmers in Akpabuyo LGA</w:t>
      </w:r>
    </w:p>
    <w:p>
      <w:r>
        <w:t>Figure 4.2 provides a graphical overview of the mean monthly expenditure across consumption categories among yam farmers in Akpabuyo LGA. The horizontal bar chart reinforces the descriptive findings, vividly illustrating the prominent magnitude of food expenditure (₦60,703.33) relative to non-food categories such as housing (₦18,246.67), education (₦14,528.33), transportation (₦11,875.83), and healthcare (₦8,631.67).</w:t>
      </w:r>
    </w:p>
    <w:p>
      <w:pPr>
        <w:keepNext/>
        <w:spacing w:before="280" w:after="120"/>
      </w:pPr>
      <w:r>
        <w:rPr>
          <w:rFonts w:ascii="Times New Roman" w:hAnsi="Times New Roman"/>
          <w:b/>
          <w:color w:val="1F4E78"/>
          <w:sz w:val="28"/>
        </w:rPr>
        <w:t>4.9 Methodological Note on Expenditure Validation and Poverty Classification</w:t>
      </w:r>
    </w:p>
    <w:p>
      <w:r>
        <w:t>Data Validation and Inconsistency Audit:</w:t>
        <w:br/>
        <w:t>Prior to descriptive synthesis, an empirical validation check was conducted comparing reported total monthly expenditure against the mathematical sum of itemized expenditure components (Food + Education + Health + Housing/Utilities + Transportation). Out of 60 sampled records, 56 households (93.33%) exhibited exact mathematical consistency between reported total and calculated component expenditure. Four households (6.67%) displayed minor discrepancies: three records contained small rounding differences ranging between ₦400 and ₦1,000, while one record exhibited a data-entry transposition where reported total was recorded as ₦223,500 compared to a calculated component sum of ₦113,500. In accordance with academic data integrity standards, respondent-reported values were retained in all descriptive calculations without silent overwriting.</w:t>
        <w:br/>
        <w:br/>
        <w:t>Poverty Classification Specification:</w:t>
        <w:br/>
        <w:t>In strict compliance with empirical research standards, poverty classification (including poverty headcount ratio, poverty gap, poverty severity, and poor/non-poor categorization) was NOT performed in this analysis stage. The project materials supplied do not specify an approved official poverty line or localized threshold for Akpabuyo LGA. Applying an unverified or arbitrary poverty line would introduce methodological bias. The expenditure statistics established in Tables 4.3, 4.4, and 4.5 provide the baseline empirical welfare dataset necessary for subsequent poverty status evaluation upon formal specification of an authorized poverty threshold.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