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Calibri" w:hAnsi="Calibri"/>
          <w:b/>
          <w:color w:val="1F4E78"/>
          <w:sz w:val="32"/>
        </w:rPr>
        <w:t>4.4 Factors Associated with Poverty Status among Yam Farmers</w:t>
      </w:r>
    </w:p>
    <w:p>
      <w:pPr>
        <w:keepNext/>
        <w:spacing w:before="200" w:after="80"/>
      </w:pPr>
      <w:r>
        <w:rPr>
          <w:rFonts w:ascii="Calibri" w:hAnsi="Calibri"/>
          <w:b/>
          <w:color w:val="1F4E78"/>
          <w:sz w:val="26"/>
        </w:rPr>
        <w:t>4.4.1 Distribution of Socio-Economic and Agricultural Explanatory Variables</w:t>
      </w:r>
    </w:p>
    <w:p>
      <w:pPr>
        <w:spacing w:after="120" w:line="276" w:lineRule="auto"/>
        <w:jc w:val="left"/>
      </w:pPr>
      <w:r>
        <w:t>To examine the factors associated with poverty status among yam farmers in Akpabuyo Local Government Area of Cross River State, eight key explanatory variables specified in Section C of the research instrument were evaluated. Prior to inferential modeling, data validation was performed across all N = 60 sampled households to verify data integrity, completeness, and distributional properties. The outcome variable, household poverty status, was adopted directly from Section 4.3 based on the relative poverty threshold of ₦13,526.02 per capita monthly household expenditure (PCHE). As established in Analysis 3, exactly 13 households (21.67%) were classified as poor (PCHE &lt; ₦13,526.02) and 47 households (78.33%) were classified as non-poor (PCHE ≥ ₦13,526.02).</w:t>
      </w:r>
    </w:p>
    <w:p>
      <w:pPr>
        <w:spacing w:after="120" w:line="276" w:lineRule="auto"/>
        <w:jc w:val="left"/>
      </w:pPr>
      <w:r>
        <w:t>The descriptive metrics for the continuous land asset variables revealed an overall mean total farm size of 2.43 ± 0.79 hectares (median = 2.20 ha; range = 1.20 to 5.00 ha). Specifically, the area under yam cultivation averaged 1.67 ± 0.53 hectares (median = 1.50 ha; range = 0.90 to 3.50 ha). Across all 60 households, yam farming accounted for the primary land allocation, representing approximately 68.7% of total cultivated farm land.</w:t>
      </w:r>
    </w:p>
    <w:p>
      <w:pPr>
        <w:spacing w:after="120" w:line="276" w:lineRule="auto"/>
        <w:jc w:val="left"/>
      </w:pPr>
      <w:r>
        <w:t>Regarding the six binary agricultural practice and institutional access indicators, exactly half of the sampled farmers (n = 30, 50.0%) had access to agricultural credit for yam farming during the preceding farming season, whereas 30 farmers (50.0%) had no credit access. Contact with an agricultural extension agent within the preceding 12 months was reported by 21 farmers (35.0%), while 39 farmers (65.0%) had no extension contact. Membership in a farmers' cooperative society or association was high, with 49 farmers (81.7%) indicating active membership compared to 11 non-members (18.3%). Application of inorganic fertilizer or organic manure was practiced by 48 farmers (80.0%), while 12 farmers (20.0%) did not apply fertilizer or manure. Conversely, the adoption of modern farm tools/improved technology was low, with only 6 farmers (10.0%) utilizing modern tools compared to 54 farmers (90.0%) using traditional equipment. Finally, the adoption of improved yam varieties was extremely rare, reported by only 2 farmers (3.3%), while 58 farmers (96.7%) relied entirely on local landraces.</w:t>
      </w:r>
    </w:p>
    <w:p>
      <w:pPr>
        <w:keepNext/>
        <w:spacing w:before="200" w:after="80"/>
      </w:pPr>
      <w:r>
        <w:rPr>
          <w:rFonts w:ascii="Calibri" w:hAnsi="Calibri"/>
          <w:b/>
          <w:color w:val="1F4E78"/>
          <w:sz w:val="26"/>
        </w:rPr>
        <w:t>4.4.2 Descriptive and Bivariate Comparison by Poverty Status</w:t>
      </w:r>
    </w:p>
    <w:p>
      <w:pPr>
        <w:spacing w:after="120" w:line="276" w:lineRule="auto"/>
        <w:jc w:val="left"/>
      </w:pPr>
      <w:r>
        <w:t>Table 4.9 presents the descriptive statistics and statistical comparison of all eight explanatory variables between poor households (n = 13) and non-poor households (n = 47) in Akpabuyo LGA. In accordance with statistical reporting standards, each variable is presented with its single primary statistical test statistic and p-value. For continuous land variables exhibiting right-skewness, non-parametric Mann–Whitney U tests are presented. For categorical predictors, Pearson chi-square tests are reported where expected cell counts were 5 or greater, while Fisher's exact tests are presented for sparse categories where expected cell counts fell below 5.</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F4E78"/>
          </w:tcPr>
          <w:p>
            <w:pPr>
              <w:jc w:val="center"/>
            </w:pPr>
            <w:r>
              <w:rPr>
                <w:rFonts w:ascii="Calibri" w:hAnsi="Calibri"/>
                <w:b/>
                <w:color w:val="FFFFFF"/>
                <w:sz w:val="20"/>
              </w:rPr>
              <w:t>Variable / Indicator</w:t>
            </w:r>
          </w:p>
        </w:tc>
        <w:tc>
          <w:tcPr>
            <w:tcW w:type="dxa" w:w="1560"/>
            <w:shd w:fill="1F4E78"/>
          </w:tcPr>
          <w:p>
            <w:pPr>
              <w:jc w:val="center"/>
            </w:pPr>
            <w:r>
              <w:rPr>
                <w:rFonts w:ascii="Calibri" w:hAnsi="Calibri"/>
                <w:b/>
                <w:color w:val="FFFFFF"/>
                <w:sz w:val="20"/>
              </w:rPr>
              <w:t>Poor (n = 13)</w:t>
            </w:r>
          </w:p>
        </w:tc>
        <w:tc>
          <w:tcPr>
            <w:tcW w:type="dxa" w:w="1560"/>
            <w:shd w:fill="1F4E78"/>
          </w:tcPr>
          <w:p>
            <w:pPr>
              <w:jc w:val="center"/>
            </w:pPr>
            <w:r>
              <w:rPr>
                <w:rFonts w:ascii="Calibri" w:hAnsi="Calibri"/>
                <w:b/>
                <w:color w:val="FFFFFF"/>
                <w:sz w:val="20"/>
              </w:rPr>
              <w:t>Non-poor (n = 47)</w:t>
            </w:r>
          </w:p>
        </w:tc>
        <w:tc>
          <w:tcPr>
            <w:tcW w:type="dxa" w:w="1560"/>
            <w:shd w:fill="1F4E78"/>
          </w:tcPr>
          <w:p>
            <w:pPr>
              <w:jc w:val="center"/>
            </w:pPr>
            <w:r>
              <w:rPr>
                <w:rFonts w:ascii="Calibri" w:hAnsi="Calibri"/>
                <w:b/>
                <w:color w:val="FFFFFF"/>
                <w:sz w:val="20"/>
              </w:rPr>
              <w:t>Overall (N = 60)</w:t>
            </w:r>
          </w:p>
        </w:tc>
        <w:tc>
          <w:tcPr>
            <w:tcW w:type="dxa" w:w="1560"/>
            <w:shd w:fill="1F4E78"/>
          </w:tcPr>
          <w:p>
            <w:pPr>
              <w:jc w:val="center"/>
            </w:pPr>
            <w:r>
              <w:rPr>
                <w:rFonts w:ascii="Calibri" w:hAnsi="Calibri"/>
                <w:b/>
                <w:color w:val="FFFFFF"/>
                <w:sz w:val="20"/>
              </w:rPr>
              <w:t>Statistical Test</w:t>
            </w:r>
          </w:p>
        </w:tc>
        <w:tc>
          <w:tcPr>
            <w:tcW w:type="dxa" w:w="1560"/>
            <w:shd w:fill="1F4E78"/>
          </w:tcPr>
          <w:p>
            <w:pPr>
              <w:jc w:val="center"/>
            </w:pPr>
            <w:r>
              <w:rPr>
                <w:rFonts w:ascii="Calibri" w:hAnsi="Calibri"/>
                <w:b/>
                <w:color w:val="FFFFFF"/>
                <w:sz w:val="20"/>
              </w:rPr>
              <w:t>p-value</w:t>
            </w:r>
          </w:p>
        </w:tc>
      </w:tr>
      <w:tr>
        <w:tc>
          <w:tcPr>
            <w:tcW w:type="dxa" w:w="1560"/>
          </w:tcPr>
          <w:p>
            <w:pPr>
              <w:jc w:val="left"/>
            </w:pPr>
            <w:r>
              <w:rPr>
                <w:rFonts w:ascii="Calibri" w:hAnsi="Calibri"/>
                <w:sz w:val="19"/>
              </w:rPr>
              <w:t>Total farm size (hectares)</w:t>
            </w:r>
          </w:p>
        </w:tc>
        <w:tc>
          <w:tcPr>
            <w:tcW w:type="dxa" w:w="1560"/>
          </w:tcPr>
          <w:p>
            <w:pPr>
              <w:jc w:val="center"/>
            </w:pPr>
            <w:r>
              <w:rPr>
                <w:rFonts w:ascii="Calibri" w:hAnsi="Calibri"/>
                <w:sz w:val="19"/>
              </w:rPr>
              <w:t>1.98 ± 0.48</w:t>
            </w:r>
          </w:p>
        </w:tc>
        <w:tc>
          <w:tcPr>
            <w:tcW w:type="dxa" w:w="1560"/>
          </w:tcPr>
          <w:p>
            <w:pPr>
              <w:jc w:val="center"/>
            </w:pPr>
            <w:r>
              <w:rPr>
                <w:rFonts w:ascii="Calibri" w:hAnsi="Calibri"/>
                <w:sz w:val="19"/>
              </w:rPr>
              <w:t>2.56 ± 0.82</w:t>
            </w:r>
          </w:p>
        </w:tc>
        <w:tc>
          <w:tcPr>
            <w:tcW w:type="dxa" w:w="1560"/>
          </w:tcPr>
          <w:p>
            <w:pPr>
              <w:jc w:val="center"/>
            </w:pPr>
            <w:r>
              <w:rPr>
                <w:rFonts w:ascii="Calibri" w:hAnsi="Calibri"/>
                <w:sz w:val="19"/>
              </w:rPr>
              <w:t>2.43 ± 0.79</w:t>
            </w:r>
          </w:p>
        </w:tc>
        <w:tc>
          <w:tcPr>
            <w:tcW w:type="dxa" w:w="1560"/>
          </w:tcPr>
          <w:p>
            <w:pPr>
              <w:jc w:val="center"/>
            </w:pPr>
            <w:r>
              <w:rPr>
                <w:rFonts w:ascii="Calibri" w:hAnsi="Calibri"/>
                <w:sz w:val="19"/>
              </w:rPr>
              <w:t>Mann–Whitney U = 170.50</w:t>
            </w:r>
          </w:p>
        </w:tc>
        <w:tc>
          <w:tcPr>
            <w:tcW w:type="dxa" w:w="1560"/>
          </w:tcPr>
          <w:p>
            <w:pPr>
              <w:jc w:val="center"/>
            </w:pPr>
            <w:r>
              <w:rPr>
                <w:rFonts w:ascii="Calibri" w:hAnsi="Calibri"/>
                <w:sz w:val="19"/>
              </w:rPr>
              <w:t>0.016*</w:t>
            </w:r>
          </w:p>
        </w:tc>
      </w:tr>
      <w:tr>
        <w:tc>
          <w:tcPr>
            <w:tcW w:type="dxa" w:w="1560"/>
          </w:tcPr>
          <w:p>
            <w:pPr>
              <w:jc w:val="left"/>
            </w:pPr>
            <w:r>
              <w:rPr>
                <w:rFonts w:ascii="Calibri" w:hAnsi="Calibri"/>
                <w:sz w:val="19"/>
              </w:rPr>
              <w:t>Area under yam cultivation (hectares)</w:t>
            </w:r>
          </w:p>
        </w:tc>
        <w:tc>
          <w:tcPr>
            <w:tcW w:type="dxa" w:w="1560"/>
          </w:tcPr>
          <w:p>
            <w:pPr>
              <w:jc w:val="center"/>
            </w:pPr>
            <w:r>
              <w:rPr>
                <w:rFonts w:ascii="Calibri" w:hAnsi="Calibri"/>
                <w:sz w:val="19"/>
              </w:rPr>
              <w:t>1.43 ± 0.37</w:t>
            </w:r>
          </w:p>
        </w:tc>
        <w:tc>
          <w:tcPr>
            <w:tcW w:type="dxa" w:w="1560"/>
          </w:tcPr>
          <w:p>
            <w:pPr>
              <w:jc w:val="center"/>
            </w:pPr>
            <w:r>
              <w:rPr>
                <w:rFonts w:ascii="Calibri" w:hAnsi="Calibri"/>
                <w:sz w:val="19"/>
              </w:rPr>
              <w:t>1.73 ± 0.56</w:t>
            </w:r>
          </w:p>
        </w:tc>
        <w:tc>
          <w:tcPr>
            <w:tcW w:type="dxa" w:w="1560"/>
          </w:tcPr>
          <w:p>
            <w:pPr>
              <w:jc w:val="center"/>
            </w:pPr>
            <w:r>
              <w:rPr>
                <w:rFonts w:ascii="Calibri" w:hAnsi="Calibri"/>
                <w:sz w:val="19"/>
              </w:rPr>
              <w:t>1.67 ± 0.53</w:t>
            </w:r>
          </w:p>
        </w:tc>
        <w:tc>
          <w:tcPr>
            <w:tcW w:type="dxa" w:w="1560"/>
          </w:tcPr>
          <w:p>
            <w:pPr>
              <w:jc w:val="center"/>
            </w:pPr>
            <w:r>
              <w:rPr>
                <w:rFonts w:ascii="Calibri" w:hAnsi="Calibri"/>
                <w:sz w:val="19"/>
              </w:rPr>
              <w:t>Mann–Whitney U = 205.00</w:t>
            </w:r>
          </w:p>
        </w:tc>
        <w:tc>
          <w:tcPr>
            <w:tcW w:type="dxa" w:w="1560"/>
          </w:tcPr>
          <w:p>
            <w:pPr>
              <w:jc w:val="center"/>
            </w:pPr>
            <w:r>
              <w:rPr>
                <w:rFonts w:ascii="Calibri" w:hAnsi="Calibri"/>
                <w:sz w:val="19"/>
              </w:rPr>
              <w:t>0.071</w:t>
            </w:r>
          </w:p>
        </w:tc>
      </w:tr>
      <w:tr>
        <w:tc>
          <w:tcPr>
            <w:tcW w:type="dxa" w:w="1560"/>
          </w:tcPr>
          <w:p>
            <w:pPr>
              <w:jc w:val="left"/>
            </w:pPr>
            <w:r>
              <w:rPr>
                <w:rFonts w:ascii="Calibri" w:hAnsi="Calibri"/>
                <w:sz w:val="19"/>
              </w:rPr>
              <w:t>Access to credit (Yes)</w:t>
            </w:r>
          </w:p>
        </w:tc>
        <w:tc>
          <w:tcPr>
            <w:tcW w:type="dxa" w:w="1560"/>
          </w:tcPr>
          <w:p>
            <w:pPr>
              <w:jc w:val="center"/>
            </w:pPr>
            <w:r>
              <w:rPr>
                <w:rFonts w:ascii="Calibri" w:hAnsi="Calibri"/>
                <w:sz w:val="19"/>
              </w:rPr>
              <w:t>1 (7.7%)</w:t>
            </w:r>
          </w:p>
        </w:tc>
        <w:tc>
          <w:tcPr>
            <w:tcW w:type="dxa" w:w="1560"/>
          </w:tcPr>
          <w:p>
            <w:pPr>
              <w:jc w:val="center"/>
            </w:pPr>
            <w:r>
              <w:rPr>
                <w:rFonts w:ascii="Calibri" w:hAnsi="Calibri"/>
                <w:sz w:val="19"/>
              </w:rPr>
              <w:t>29 (61.7%)</w:t>
            </w:r>
          </w:p>
        </w:tc>
        <w:tc>
          <w:tcPr>
            <w:tcW w:type="dxa" w:w="1560"/>
          </w:tcPr>
          <w:p>
            <w:pPr>
              <w:jc w:val="center"/>
            </w:pPr>
            <w:r>
              <w:rPr>
                <w:rFonts w:ascii="Calibri" w:hAnsi="Calibri"/>
                <w:sz w:val="19"/>
              </w:rPr>
              <w:t>30 (50.0%)</w:t>
            </w:r>
          </w:p>
        </w:tc>
        <w:tc>
          <w:tcPr>
            <w:tcW w:type="dxa" w:w="1560"/>
          </w:tcPr>
          <w:p>
            <w:pPr>
              <w:jc w:val="center"/>
            </w:pPr>
            <w:r>
              <w:rPr>
                <w:rFonts w:ascii="Calibri" w:hAnsi="Calibri"/>
                <w:sz w:val="19"/>
              </w:rPr>
              <w:t>Pearson χ² = 9.820</w:t>
            </w:r>
          </w:p>
        </w:tc>
        <w:tc>
          <w:tcPr>
            <w:tcW w:type="dxa" w:w="1560"/>
          </w:tcPr>
          <w:p>
            <w:pPr>
              <w:jc w:val="center"/>
            </w:pPr>
            <w:r>
              <w:rPr>
                <w:rFonts w:ascii="Calibri" w:hAnsi="Calibri"/>
                <w:sz w:val="19"/>
              </w:rPr>
              <w:t>0.002*</w:t>
            </w:r>
          </w:p>
        </w:tc>
      </w:tr>
      <w:tr>
        <w:tc>
          <w:tcPr>
            <w:tcW w:type="dxa" w:w="1560"/>
          </w:tcPr>
          <w:p>
            <w:pPr>
              <w:jc w:val="left"/>
            </w:pPr>
            <w:r>
              <w:rPr>
                <w:rFonts w:ascii="Calibri" w:hAnsi="Calibri"/>
                <w:sz w:val="19"/>
              </w:rPr>
              <w:t>Extension contact in last 12 months (Yes)</w:t>
            </w:r>
          </w:p>
        </w:tc>
        <w:tc>
          <w:tcPr>
            <w:tcW w:type="dxa" w:w="1560"/>
          </w:tcPr>
          <w:p>
            <w:pPr>
              <w:jc w:val="center"/>
            </w:pPr>
            <w:r>
              <w:rPr>
                <w:rFonts w:ascii="Calibri" w:hAnsi="Calibri"/>
                <w:sz w:val="19"/>
              </w:rPr>
              <w:t>0 (0.0%)</w:t>
            </w:r>
          </w:p>
        </w:tc>
        <w:tc>
          <w:tcPr>
            <w:tcW w:type="dxa" w:w="1560"/>
          </w:tcPr>
          <w:p>
            <w:pPr>
              <w:jc w:val="center"/>
            </w:pPr>
            <w:r>
              <w:rPr>
                <w:rFonts w:ascii="Calibri" w:hAnsi="Calibri"/>
                <w:sz w:val="19"/>
              </w:rPr>
              <w:t>21 (44.7%)</w:t>
            </w:r>
          </w:p>
        </w:tc>
        <w:tc>
          <w:tcPr>
            <w:tcW w:type="dxa" w:w="1560"/>
          </w:tcPr>
          <w:p>
            <w:pPr>
              <w:jc w:val="center"/>
            </w:pPr>
            <w:r>
              <w:rPr>
                <w:rFonts w:ascii="Calibri" w:hAnsi="Calibri"/>
                <w:sz w:val="19"/>
              </w:rPr>
              <w:t>21 (35.0%)</w:t>
            </w:r>
          </w:p>
        </w:tc>
        <w:tc>
          <w:tcPr>
            <w:tcW w:type="dxa" w:w="1560"/>
          </w:tcPr>
          <w:p>
            <w:pPr>
              <w:jc w:val="center"/>
            </w:pPr>
            <w:r>
              <w:rPr>
                <w:rFonts w:ascii="Calibri" w:hAnsi="Calibri"/>
                <w:sz w:val="19"/>
              </w:rPr>
              <w:t>Fisher's exact test</w:t>
            </w:r>
          </w:p>
        </w:tc>
        <w:tc>
          <w:tcPr>
            <w:tcW w:type="dxa" w:w="1560"/>
          </w:tcPr>
          <w:p>
            <w:pPr>
              <w:jc w:val="center"/>
            </w:pPr>
            <w:r>
              <w:rPr>
                <w:rFonts w:ascii="Calibri" w:hAnsi="Calibri"/>
                <w:sz w:val="19"/>
              </w:rPr>
              <w:t>0.002*</w:t>
            </w:r>
          </w:p>
        </w:tc>
      </w:tr>
      <w:tr>
        <w:tc>
          <w:tcPr>
            <w:tcW w:type="dxa" w:w="1560"/>
          </w:tcPr>
          <w:p>
            <w:pPr>
              <w:jc w:val="left"/>
            </w:pPr>
            <w:r>
              <w:rPr>
                <w:rFonts w:ascii="Calibri" w:hAnsi="Calibri"/>
                <w:sz w:val="19"/>
              </w:rPr>
              <w:t>Use of improved yam varieties (Yes)</w:t>
            </w:r>
          </w:p>
        </w:tc>
        <w:tc>
          <w:tcPr>
            <w:tcW w:type="dxa" w:w="1560"/>
          </w:tcPr>
          <w:p>
            <w:pPr>
              <w:jc w:val="center"/>
            </w:pPr>
            <w:r>
              <w:rPr>
                <w:rFonts w:ascii="Calibri" w:hAnsi="Calibri"/>
                <w:sz w:val="19"/>
              </w:rPr>
              <w:t>0 (0.0%)</w:t>
            </w:r>
          </w:p>
        </w:tc>
        <w:tc>
          <w:tcPr>
            <w:tcW w:type="dxa" w:w="1560"/>
          </w:tcPr>
          <w:p>
            <w:pPr>
              <w:jc w:val="center"/>
            </w:pPr>
            <w:r>
              <w:rPr>
                <w:rFonts w:ascii="Calibri" w:hAnsi="Calibri"/>
                <w:sz w:val="19"/>
              </w:rPr>
              <w:t>2 (4.3%)</w:t>
            </w:r>
          </w:p>
        </w:tc>
        <w:tc>
          <w:tcPr>
            <w:tcW w:type="dxa" w:w="1560"/>
          </w:tcPr>
          <w:p>
            <w:pPr>
              <w:jc w:val="center"/>
            </w:pPr>
            <w:r>
              <w:rPr>
                <w:rFonts w:ascii="Calibri" w:hAnsi="Calibri"/>
                <w:sz w:val="19"/>
              </w:rPr>
              <w:t>2 (3.3%)</w:t>
            </w:r>
          </w:p>
        </w:tc>
        <w:tc>
          <w:tcPr>
            <w:tcW w:type="dxa" w:w="1560"/>
          </w:tcPr>
          <w:p>
            <w:pPr>
              <w:jc w:val="center"/>
            </w:pPr>
            <w:r>
              <w:rPr>
                <w:rFonts w:ascii="Calibri" w:hAnsi="Calibri"/>
                <w:sz w:val="19"/>
              </w:rPr>
              <w:t>Fisher's exact test</w:t>
            </w:r>
          </w:p>
        </w:tc>
        <w:tc>
          <w:tcPr>
            <w:tcW w:type="dxa" w:w="1560"/>
          </w:tcPr>
          <w:p>
            <w:pPr>
              <w:jc w:val="center"/>
            </w:pPr>
            <w:r>
              <w:rPr>
                <w:rFonts w:ascii="Calibri" w:hAnsi="Calibri"/>
                <w:sz w:val="19"/>
              </w:rPr>
              <w:t>1.000</w:t>
            </w:r>
          </w:p>
        </w:tc>
      </w:tr>
      <w:tr>
        <w:tc>
          <w:tcPr>
            <w:tcW w:type="dxa" w:w="1560"/>
          </w:tcPr>
          <w:p>
            <w:pPr>
              <w:jc w:val="left"/>
            </w:pPr>
            <w:r>
              <w:rPr>
                <w:rFonts w:ascii="Calibri" w:hAnsi="Calibri"/>
                <w:sz w:val="19"/>
              </w:rPr>
              <w:t>Application of fertilizer/manure (Yes)</w:t>
            </w:r>
          </w:p>
        </w:tc>
        <w:tc>
          <w:tcPr>
            <w:tcW w:type="dxa" w:w="1560"/>
          </w:tcPr>
          <w:p>
            <w:pPr>
              <w:jc w:val="center"/>
            </w:pPr>
            <w:r>
              <w:rPr>
                <w:rFonts w:ascii="Calibri" w:hAnsi="Calibri"/>
                <w:sz w:val="19"/>
              </w:rPr>
              <w:t>9 (69.2%)</w:t>
            </w:r>
          </w:p>
        </w:tc>
        <w:tc>
          <w:tcPr>
            <w:tcW w:type="dxa" w:w="1560"/>
          </w:tcPr>
          <w:p>
            <w:pPr>
              <w:jc w:val="center"/>
            </w:pPr>
            <w:r>
              <w:rPr>
                <w:rFonts w:ascii="Calibri" w:hAnsi="Calibri"/>
                <w:sz w:val="19"/>
              </w:rPr>
              <w:t>39 (83.0%)</w:t>
            </w:r>
          </w:p>
        </w:tc>
        <w:tc>
          <w:tcPr>
            <w:tcW w:type="dxa" w:w="1560"/>
          </w:tcPr>
          <w:p>
            <w:pPr>
              <w:jc w:val="center"/>
            </w:pPr>
            <w:r>
              <w:rPr>
                <w:rFonts w:ascii="Calibri" w:hAnsi="Calibri"/>
                <w:sz w:val="19"/>
              </w:rPr>
              <w:t>48 (80.0%)</w:t>
            </w:r>
          </w:p>
        </w:tc>
        <w:tc>
          <w:tcPr>
            <w:tcW w:type="dxa" w:w="1560"/>
          </w:tcPr>
          <w:p>
            <w:pPr>
              <w:jc w:val="center"/>
            </w:pPr>
            <w:r>
              <w:rPr>
                <w:rFonts w:ascii="Calibri" w:hAnsi="Calibri"/>
                <w:sz w:val="19"/>
              </w:rPr>
              <w:t>Fisher's exact test</w:t>
            </w:r>
          </w:p>
        </w:tc>
        <w:tc>
          <w:tcPr>
            <w:tcW w:type="dxa" w:w="1560"/>
          </w:tcPr>
          <w:p>
            <w:pPr>
              <w:jc w:val="center"/>
            </w:pPr>
            <w:r>
              <w:rPr>
                <w:rFonts w:ascii="Calibri" w:hAnsi="Calibri"/>
                <w:sz w:val="19"/>
              </w:rPr>
              <w:t>0.271</w:t>
            </w:r>
          </w:p>
        </w:tc>
      </w:tr>
      <w:tr>
        <w:tc>
          <w:tcPr>
            <w:tcW w:type="dxa" w:w="1560"/>
          </w:tcPr>
          <w:p>
            <w:pPr>
              <w:jc w:val="left"/>
            </w:pPr>
            <w:r>
              <w:rPr>
                <w:rFonts w:ascii="Calibri" w:hAnsi="Calibri"/>
                <w:sz w:val="19"/>
              </w:rPr>
              <w:t>Use of modern farm tools/technology (Yes)</w:t>
            </w:r>
          </w:p>
        </w:tc>
        <w:tc>
          <w:tcPr>
            <w:tcW w:type="dxa" w:w="1560"/>
          </w:tcPr>
          <w:p>
            <w:pPr>
              <w:jc w:val="center"/>
            </w:pPr>
            <w:r>
              <w:rPr>
                <w:rFonts w:ascii="Calibri" w:hAnsi="Calibri"/>
                <w:sz w:val="19"/>
              </w:rPr>
              <w:t>0 (0.0%)</w:t>
            </w:r>
          </w:p>
        </w:tc>
        <w:tc>
          <w:tcPr>
            <w:tcW w:type="dxa" w:w="1560"/>
          </w:tcPr>
          <w:p>
            <w:pPr>
              <w:jc w:val="center"/>
            </w:pPr>
            <w:r>
              <w:rPr>
                <w:rFonts w:ascii="Calibri" w:hAnsi="Calibri"/>
                <w:sz w:val="19"/>
              </w:rPr>
              <w:t>6 (12.8%)</w:t>
            </w:r>
          </w:p>
        </w:tc>
        <w:tc>
          <w:tcPr>
            <w:tcW w:type="dxa" w:w="1560"/>
          </w:tcPr>
          <w:p>
            <w:pPr>
              <w:jc w:val="center"/>
            </w:pPr>
            <w:r>
              <w:rPr>
                <w:rFonts w:ascii="Calibri" w:hAnsi="Calibri"/>
                <w:sz w:val="19"/>
              </w:rPr>
              <w:t>6 (10.0%)</w:t>
            </w:r>
          </w:p>
        </w:tc>
        <w:tc>
          <w:tcPr>
            <w:tcW w:type="dxa" w:w="1560"/>
          </w:tcPr>
          <w:p>
            <w:pPr>
              <w:jc w:val="center"/>
            </w:pPr>
            <w:r>
              <w:rPr>
                <w:rFonts w:ascii="Calibri" w:hAnsi="Calibri"/>
                <w:sz w:val="19"/>
              </w:rPr>
              <w:t>Fisher's exact test</w:t>
            </w:r>
          </w:p>
        </w:tc>
        <w:tc>
          <w:tcPr>
            <w:tcW w:type="dxa" w:w="1560"/>
          </w:tcPr>
          <w:p>
            <w:pPr>
              <w:jc w:val="center"/>
            </w:pPr>
            <w:r>
              <w:rPr>
                <w:rFonts w:ascii="Calibri" w:hAnsi="Calibri"/>
                <w:sz w:val="19"/>
              </w:rPr>
              <w:t>0.324</w:t>
            </w:r>
          </w:p>
        </w:tc>
      </w:tr>
      <w:tr>
        <w:tc>
          <w:tcPr>
            <w:tcW w:type="dxa" w:w="1560"/>
          </w:tcPr>
          <w:p>
            <w:pPr>
              <w:jc w:val="left"/>
            </w:pPr>
            <w:r>
              <w:rPr>
                <w:rFonts w:ascii="Calibri" w:hAnsi="Calibri"/>
                <w:sz w:val="19"/>
              </w:rPr>
              <w:t>Cooperative membership (Yes)</w:t>
            </w:r>
          </w:p>
        </w:tc>
        <w:tc>
          <w:tcPr>
            <w:tcW w:type="dxa" w:w="1560"/>
          </w:tcPr>
          <w:p>
            <w:pPr>
              <w:jc w:val="center"/>
            </w:pPr>
            <w:r>
              <w:rPr>
                <w:rFonts w:ascii="Calibri" w:hAnsi="Calibri"/>
                <w:sz w:val="19"/>
              </w:rPr>
              <w:t>10 (76.9%)</w:t>
            </w:r>
          </w:p>
        </w:tc>
        <w:tc>
          <w:tcPr>
            <w:tcW w:type="dxa" w:w="1560"/>
          </w:tcPr>
          <w:p>
            <w:pPr>
              <w:jc w:val="center"/>
            </w:pPr>
            <w:r>
              <w:rPr>
                <w:rFonts w:ascii="Calibri" w:hAnsi="Calibri"/>
                <w:sz w:val="19"/>
              </w:rPr>
              <w:t>39 (83.0%)</w:t>
            </w:r>
          </w:p>
        </w:tc>
        <w:tc>
          <w:tcPr>
            <w:tcW w:type="dxa" w:w="1560"/>
          </w:tcPr>
          <w:p>
            <w:pPr>
              <w:jc w:val="center"/>
            </w:pPr>
            <w:r>
              <w:rPr>
                <w:rFonts w:ascii="Calibri" w:hAnsi="Calibri"/>
                <w:sz w:val="19"/>
              </w:rPr>
              <w:t>49 (81.7%)</w:t>
            </w:r>
          </w:p>
        </w:tc>
        <w:tc>
          <w:tcPr>
            <w:tcW w:type="dxa" w:w="1560"/>
          </w:tcPr>
          <w:p>
            <w:pPr>
              <w:jc w:val="center"/>
            </w:pPr>
            <w:r>
              <w:rPr>
                <w:rFonts w:ascii="Calibri" w:hAnsi="Calibri"/>
                <w:sz w:val="19"/>
              </w:rPr>
              <w:t>Fisher's exact test</w:t>
            </w:r>
          </w:p>
        </w:tc>
        <w:tc>
          <w:tcPr>
            <w:tcW w:type="dxa" w:w="1560"/>
          </w:tcPr>
          <w:p>
            <w:pPr>
              <w:jc w:val="center"/>
            </w:pPr>
            <w:r>
              <w:rPr>
                <w:rFonts w:ascii="Calibri" w:hAnsi="Calibri"/>
                <w:sz w:val="19"/>
              </w:rPr>
              <w:t>0.690</w:t>
            </w:r>
          </w:p>
        </w:tc>
      </w:tr>
    </w:tbl>
    <w:p>
      <w:pPr>
        <w:spacing w:after="80"/>
      </w:pPr>
    </w:p>
    <w:p>
      <w:pPr>
        <w:spacing w:after="240"/>
        <w:jc w:val="left"/>
      </w:pPr>
      <w:r>
        <w:rPr>
          <w:i/>
          <w:sz w:val="19"/>
        </w:rPr>
        <w:t>Source: Field Survey Data Analysis, 2026. * Statistically significant at p &lt; 0.05. Primary non-parametric test for continuous variables: Mann–Whitney U test. Categorical variables evaluated via Pearson χ² (if expected cell counts ≥ 5) or Fisher's exact test (if expected cell counts &lt; 5).</w:t>
      </w:r>
    </w:p>
    <w:p>
      <w:pPr>
        <w:spacing w:after="120" w:line="276" w:lineRule="auto"/>
        <w:jc w:val="left"/>
      </w:pPr>
      <w:r>
        <w:rPr>
          <w:b/>
          <w:color w:val="1F4E78"/>
        </w:rPr>
        <w:t xml:space="preserve">Bivariate Findings: </w:t>
      </w:r>
      <w:r>
        <w:t>The bivariate results revealed statistically significant differences between poor and non-poor households across land holding and key institutional services:</w:t>
      </w:r>
    </w:p>
    <w:p>
      <w:pPr>
        <w:spacing w:after="120" w:line="276" w:lineRule="auto"/>
        <w:jc w:val="left"/>
      </w:pPr>
      <w:r>
        <w:rPr>
          <w:b/>
          <w:color w:val="1F4E78"/>
        </w:rPr>
        <w:t xml:space="preserve">1. Total Farm Size: </w:t>
      </w:r>
      <w:r>
        <w:t>Poor yam farmers operated significantly smaller total farm sizes (mean = 1.98 ± 0.48 ha; median = 1.90 ha) compared to non-poor farmers (mean = 2.56 ± 0.82 ha; median = 2.20 ha). The non-parametric Mann–Whitney U test confirmed that this difference was statistically significant (Mann–Whitney U = 170.50, p = 0.016). Non-poor households possessed greater productive land capital.</w:t>
      </w:r>
    </w:p>
    <w:p>
      <w:pPr>
        <w:spacing w:after="120" w:line="276" w:lineRule="auto"/>
        <w:jc w:val="left"/>
      </w:pPr>
      <w:r>
        <w:rPr>
          <w:b/>
          <w:color w:val="1F4E78"/>
        </w:rPr>
        <w:t xml:space="preserve">2. Area Under Yam Cultivation: </w:t>
      </w:r>
      <w:r>
        <w:t>Poor households cultivated an average of 1.43 ± 0.37 hectares of yam (median = 1.20 ha), whereas non-poor households cultivated 1.73 ± 0.56 hectares (median = 1.60 ha). Although non-poor farmers devoted more land area to yam production, the difference was not statistically significant at the 5% level (Mann–Whitney U = 205.00, p = 0.072).</w:t>
      </w:r>
    </w:p>
    <w:p>
      <w:pPr>
        <w:spacing w:after="120" w:line="276" w:lineRule="auto"/>
        <w:jc w:val="left"/>
      </w:pPr>
      <w:r>
        <w:rPr>
          <w:b/>
          <w:color w:val="1F4E78"/>
        </w:rPr>
        <w:t xml:space="preserve">3. Access to Credit: </w:t>
      </w:r>
      <w:r>
        <w:t>Access to credit exhibited a highly significant positive association with household non-poverty status. Among non-poor households, 61.7% (n = 29) had access to credit during the last farming season, compared to only 7.7% (n = 1) among poor households. Pearson chi-square testing demonstrated a highly significant association (Pearson χ² = 9.820, df = 1, p = 0.002). Access to financial liquidity strongly distinguished non-poor from poor farming households.</w:t>
      </w:r>
    </w:p>
    <w:p>
      <w:pPr>
        <w:spacing w:after="120" w:line="276" w:lineRule="auto"/>
        <w:jc w:val="left"/>
      </w:pPr>
      <w:r>
        <w:rPr>
          <w:b/>
          <w:color w:val="1F4E78"/>
        </w:rPr>
        <w:t xml:space="preserve">4. Agricultural Extension Contact: </w:t>
      </w:r>
      <w:r>
        <w:t>Agricultural extension contact was reported by 44.7% (n = 21) of non-poor farmers, whereas exactly 0.0% (n = 0) of poor farmers had contact with an extension agent in the preceding 12 months. Fisher's exact test indicated a statistically significant association (p = 0.002). Extension services were completely absent among poor households in the sample.</w:t>
      </w:r>
    </w:p>
    <w:p>
      <w:pPr>
        <w:spacing w:after="120" w:line="276" w:lineRule="auto"/>
        <w:jc w:val="left"/>
      </w:pPr>
      <w:r>
        <w:rPr>
          <w:b/>
          <w:color w:val="1F4E78"/>
        </w:rPr>
        <w:t xml:space="preserve">5. Technology, Fertilizer, and Cooperative Indicators: </w:t>
      </w:r>
      <w:r>
        <w:t>Differences between poor and non-poor households for the remaining four agricultural practice indicators were not statistically significant at α = 0.05. Application of fertilizer/manure was high in both non-poor (83.0%) and poor (69.2%) groups (Pearson χ² = 0.497, p = 0.481). Cooperative membership was similarly high among non-poor (83.0%) and poor (76.9%) farmers (Pearson χ² = 0.009, p = 0.925). Adoption of modern farm tools was confined to 12.8% of non-poor farmers versus 0.0% of poor farmers (Fisher's exact test p = 0.324). Improved yam varieties were used by only 4.3% of non-poor farmers versus 0.0% of poor farmers (Fisher's exact test p = 1.000).</w:t>
      </w:r>
    </w:p>
    <w:p>
      <w:pPr>
        <w:keepNext/>
        <w:spacing w:before="200" w:after="80"/>
      </w:pPr>
      <w:r>
        <w:rPr>
          <w:rFonts w:ascii="Calibri" w:hAnsi="Calibri"/>
          <w:b/>
          <w:color w:val="1F4E78"/>
          <w:sz w:val="26"/>
        </w:rPr>
        <w:t>4.4.3 Multivariable Binary Logistic Regression Analysis</w:t>
      </w:r>
    </w:p>
    <w:p>
      <w:pPr>
        <w:spacing w:after="120" w:line="276" w:lineRule="auto"/>
        <w:jc w:val="left"/>
      </w:pPr>
      <w:r>
        <w:t>To examine the joint association of explanatory factors with household poverty status while controlling for potential confounding, binary logistic regression was evaluated. In binary logistic regression, the outcome variable is coded as 1 for poor households and 0 for non-poor households.</w:t>
      </w:r>
    </w:p>
    <w:p>
      <w:pPr>
        <w:spacing w:after="120" w:line="276" w:lineRule="auto"/>
        <w:jc w:val="left"/>
      </w:pPr>
      <w:r>
        <w:rPr>
          <w:b/>
          <w:color w:val="1F4E78"/>
        </w:rPr>
        <w:t xml:space="preserve">Diagnostic Screening &amp; Model Specification: </w:t>
      </w:r>
      <w:r>
        <w:t>Prior to model estimation, comprehensive diagnostic checks were conducted to screen candidate predictors:</w:t>
      </w:r>
    </w:p>
    <w:p>
      <w:pPr>
        <w:spacing w:after="120" w:line="276" w:lineRule="auto"/>
        <w:jc w:val="left"/>
      </w:pPr>
      <w:r>
        <w:rPr>
          <w:b/>
          <w:color w:val="1F4E78"/>
        </w:rPr>
        <w:t xml:space="preserve">1. Multicollinearity Assessment: </w:t>
      </w:r>
      <w:r>
        <w:t>Correlation analysis between total farm size and area under yam cultivation revealed an extremely strong linear correlation (r = 0.9642, p &lt; 0.001) and severe variance inflation factors (VIF = 16.00 for total farm size and VIF = 15.85 for yam area). Because yam cultivation represents a direct subset of total farm size, incorporating both continuous land metrics simultaneously generates severe multicollinearity. Total farm size was selected for the multivariable model as it represents total land asset holding and exhibited a stronger bivariate association with poverty status.</w:t>
      </w:r>
    </w:p>
    <w:p>
      <w:pPr>
        <w:spacing w:after="120" w:line="276" w:lineRule="auto"/>
        <w:jc w:val="left"/>
      </w:pPr>
      <w:r>
        <w:rPr>
          <w:b/>
          <w:color w:val="1F4E78"/>
        </w:rPr>
        <w:t xml:space="preserve">2. Zero-Cell Separation &amp; Category Sparsity: </w:t>
      </w:r>
      <w:r>
        <w:t>In the sample of 60 farmers, zero poor households had extension contact (0/13 = 0.0%), zero used modern tools (0/13 = 0.0%), and zero used improved varieties (0/13 = 0.0%). In standard Maximum Likelihood Estimation (MLE) logistic regression, zero cell frequencies create quasi-complete separation, causing the likelihood function to fail to converge and driving standard errors to infinitely large values. Furthermore, adoption of improved varieties (n = 2, 3.3%) and modern tools (n = 6, 10.0%) suffered from extreme category sparsity.</w:t>
      </w:r>
    </w:p>
    <w:p>
      <w:pPr>
        <w:spacing w:after="120" w:line="276" w:lineRule="auto"/>
        <w:jc w:val="left"/>
      </w:pPr>
      <w:r>
        <w:rPr>
          <w:b/>
          <w:color w:val="1F4E78"/>
        </w:rPr>
        <w:t>3. Model Parsimony Rule: Given the 13 poverty events in the sample, a parsimonious two-predictor model incorporating Total Farm Size (hectares) and Access to Credit (1 = Yes, 0 = No) was specified to limit model complexity. Given the 13 poverty events in the sample, a two-predictor model was specified to maintain parsimony and statistical stability; adding further predictors would be unreliable with this number of outcome events. This specification also avoids multicollinearity and resolves the separation constraints noted above.</w:t>
      </w:r>
      <w:r/>
    </w:p>
    <w:p>
      <w:pPr>
        <w:spacing w:after="120" w:line="276" w:lineRule="auto"/>
        <w:jc w:val="left"/>
      </w:pPr>
      <w:r>
        <w:t>Table 4.10 presents the final binary logistic regression estimates, including regression coefficients (β), standard errors (SE), odds ratios (OR), 95% confidence intervals, and p-values.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F4E78"/>
          </w:tcPr>
          <w:p>
            <w:pPr>
              <w:jc w:val="center"/>
            </w:pPr>
            <w:r>
              <w:rPr>
                <w:rFonts w:ascii="Calibri" w:hAnsi="Calibri"/>
                <w:b/>
                <w:color w:val="FFFFFF"/>
                <w:sz w:val="20"/>
              </w:rPr>
              <w:t>Predictor Variable</w:t>
            </w:r>
          </w:p>
        </w:tc>
        <w:tc>
          <w:tcPr>
            <w:tcW w:type="dxa" w:w="1560"/>
            <w:shd w:fill="1F4E78"/>
          </w:tcPr>
          <w:p>
            <w:pPr>
              <w:jc w:val="center"/>
            </w:pPr>
            <w:r>
              <w:rPr>
                <w:rFonts w:ascii="Calibri" w:hAnsi="Calibri"/>
                <w:b/>
                <w:color w:val="FFFFFF"/>
                <w:sz w:val="20"/>
              </w:rPr>
              <w:t>Coefficient (β)</w:t>
            </w:r>
          </w:p>
        </w:tc>
        <w:tc>
          <w:tcPr>
            <w:tcW w:type="dxa" w:w="1560"/>
            <w:shd w:fill="1F4E78"/>
          </w:tcPr>
          <w:p>
            <w:pPr>
              <w:jc w:val="center"/>
            </w:pPr>
            <w:r>
              <w:rPr>
                <w:rFonts w:ascii="Calibri" w:hAnsi="Calibri"/>
                <w:b/>
                <w:color w:val="FFFFFF"/>
                <w:sz w:val="20"/>
              </w:rPr>
              <w:t>Standard Error (SE)</w:t>
            </w:r>
          </w:p>
        </w:tc>
        <w:tc>
          <w:tcPr>
            <w:tcW w:type="dxa" w:w="1560"/>
            <w:shd w:fill="1F4E78"/>
          </w:tcPr>
          <w:p>
            <w:pPr>
              <w:jc w:val="center"/>
            </w:pPr>
            <w:r>
              <w:rPr>
                <w:rFonts w:ascii="Calibri" w:hAnsi="Calibri"/>
                <w:b/>
                <w:color w:val="FFFFFF"/>
                <w:sz w:val="20"/>
              </w:rPr>
              <w:t>Odds Ratio (OR)</w:t>
            </w:r>
          </w:p>
        </w:tc>
        <w:tc>
          <w:tcPr>
            <w:tcW w:type="dxa" w:w="1560"/>
            <w:shd w:fill="1F4E78"/>
          </w:tcPr>
          <w:p>
            <w:pPr>
              <w:jc w:val="center"/>
            </w:pPr>
            <w:r>
              <w:rPr>
                <w:rFonts w:ascii="Calibri" w:hAnsi="Calibri"/>
                <w:b/>
                <w:color w:val="FFFFFF"/>
                <w:sz w:val="20"/>
              </w:rPr>
              <w:t>95% CI for OR</w:t>
            </w:r>
          </w:p>
        </w:tc>
        <w:tc>
          <w:tcPr>
            <w:tcW w:type="dxa" w:w="1560"/>
            <w:shd w:fill="1F4E78"/>
          </w:tcPr>
          <w:p>
            <w:pPr>
              <w:jc w:val="center"/>
            </w:pPr>
            <w:r>
              <w:rPr>
                <w:rFonts w:ascii="Calibri" w:hAnsi="Calibri"/>
                <w:b/>
                <w:color w:val="FFFFFF"/>
                <w:sz w:val="20"/>
              </w:rPr>
              <w:t>p-value</w:t>
            </w:r>
          </w:p>
        </w:tc>
      </w:tr>
      <w:tr>
        <w:tc>
          <w:tcPr>
            <w:tcW w:type="dxa" w:w="1560"/>
          </w:tcPr>
          <w:p>
            <w:pPr>
              <w:jc w:val="left"/>
            </w:pPr>
            <w:r>
              <w:rPr>
                <w:rFonts w:ascii="Calibri" w:hAnsi="Calibri"/>
                <w:sz w:val="19"/>
              </w:rPr>
              <w:t>Total farm size (per hectare increase)</w:t>
            </w:r>
          </w:p>
        </w:tc>
        <w:tc>
          <w:tcPr>
            <w:tcW w:type="dxa" w:w="1560"/>
          </w:tcPr>
          <w:p>
            <w:pPr>
              <w:jc w:val="center"/>
            </w:pPr>
            <w:r>
              <w:rPr>
                <w:rFonts w:ascii="Calibri" w:hAnsi="Calibri"/>
                <w:sz w:val="19"/>
              </w:rPr>
              <w:t>-0.430</w:t>
            </w:r>
          </w:p>
        </w:tc>
        <w:tc>
          <w:tcPr>
            <w:tcW w:type="dxa" w:w="1560"/>
          </w:tcPr>
          <w:p>
            <w:pPr>
              <w:jc w:val="center"/>
            </w:pPr>
            <w:r>
              <w:rPr>
                <w:rFonts w:ascii="Calibri" w:hAnsi="Calibri"/>
                <w:sz w:val="19"/>
              </w:rPr>
              <w:t>0.815</w:t>
            </w:r>
          </w:p>
        </w:tc>
        <w:tc>
          <w:tcPr>
            <w:tcW w:type="dxa" w:w="1560"/>
          </w:tcPr>
          <w:p>
            <w:pPr>
              <w:jc w:val="center"/>
            </w:pPr>
            <w:r>
              <w:rPr>
                <w:rFonts w:ascii="Calibri" w:hAnsi="Calibri"/>
                <w:sz w:val="19"/>
              </w:rPr>
              <w:t>0.650</w:t>
            </w:r>
          </w:p>
        </w:tc>
        <w:tc>
          <w:tcPr>
            <w:tcW w:type="dxa" w:w="1560"/>
          </w:tcPr>
          <w:p>
            <w:pPr>
              <w:jc w:val="center"/>
            </w:pPr>
            <w:r>
              <w:rPr>
                <w:rFonts w:ascii="Calibri" w:hAnsi="Calibri"/>
                <w:sz w:val="19"/>
              </w:rPr>
              <w:t>0.132 – 3.215</w:t>
            </w:r>
          </w:p>
        </w:tc>
        <w:tc>
          <w:tcPr>
            <w:tcW w:type="dxa" w:w="1560"/>
          </w:tcPr>
          <w:p>
            <w:pPr>
              <w:jc w:val="center"/>
            </w:pPr>
            <w:r>
              <w:rPr>
                <w:rFonts w:ascii="Calibri" w:hAnsi="Calibri"/>
                <w:sz w:val="19"/>
              </w:rPr>
              <w:t>0.598</w:t>
            </w:r>
          </w:p>
        </w:tc>
      </w:tr>
      <w:tr>
        <w:tc>
          <w:tcPr>
            <w:tcW w:type="dxa" w:w="1560"/>
          </w:tcPr>
          <w:p>
            <w:pPr>
              <w:jc w:val="left"/>
            </w:pPr>
            <w:r>
              <w:rPr>
                <w:rFonts w:ascii="Calibri" w:hAnsi="Calibri"/>
                <w:sz w:val="19"/>
              </w:rPr>
              <w:t>Access to credit (Yes = 1 vs No = 0)</w:t>
            </w:r>
          </w:p>
        </w:tc>
        <w:tc>
          <w:tcPr>
            <w:tcW w:type="dxa" w:w="1560"/>
          </w:tcPr>
          <w:p>
            <w:pPr>
              <w:jc w:val="center"/>
            </w:pPr>
            <w:r>
              <w:rPr>
                <w:rFonts w:ascii="Calibri" w:hAnsi="Calibri"/>
                <w:sz w:val="19"/>
              </w:rPr>
              <w:t>-2.598</w:t>
            </w:r>
          </w:p>
        </w:tc>
        <w:tc>
          <w:tcPr>
            <w:tcW w:type="dxa" w:w="1560"/>
          </w:tcPr>
          <w:p>
            <w:pPr>
              <w:jc w:val="center"/>
            </w:pPr>
            <w:r>
              <w:rPr>
                <w:rFonts w:ascii="Calibri" w:hAnsi="Calibri"/>
                <w:sz w:val="19"/>
              </w:rPr>
              <w:t>1.245</w:t>
            </w:r>
          </w:p>
        </w:tc>
        <w:tc>
          <w:tcPr>
            <w:tcW w:type="dxa" w:w="1560"/>
          </w:tcPr>
          <w:p>
            <w:pPr>
              <w:jc w:val="center"/>
            </w:pPr>
            <w:r>
              <w:rPr>
                <w:rFonts w:ascii="Calibri" w:hAnsi="Calibri"/>
                <w:sz w:val="19"/>
              </w:rPr>
              <w:t>0.074</w:t>
            </w:r>
          </w:p>
        </w:tc>
        <w:tc>
          <w:tcPr>
            <w:tcW w:type="dxa" w:w="1560"/>
          </w:tcPr>
          <w:p>
            <w:pPr>
              <w:jc w:val="center"/>
            </w:pPr>
            <w:r>
              <w:rPr>
                <w:rFonts w:ascii="Calibri" w:hAnsi="Calibri"/>
                <w:sz w:val="19"/>
              </w:rPr>
              <w:t>0.006 – 0.854</w:t>
            </w:r>
          </w:p>
        </w:tc>
        <w:tc>
          <w:tcPr>
            <w:tcW w:type="dxa" w:w="1560"/>
          </w:tcPr>
          <w:p>
            <w:pPr>
              <w:jc w:val="center"/>
            </w:pPr>
            <w:r>
              <w:rPr>
                <w:rFonts w:ascii="Calibri" w:hAnsi="Calibri"/>
                <w:sz w:val="19"/>
              </w:rPr>
              <w:t>0.037*</w:t>
            </w:r>
          </w:p>
        </w:tc>
      </w:tr>
      <w:tr>
        <w:tc>
          <w:tcPr>
            <w:tcW w:type="dxa" w:w="1560"/>
          </w:tcPr>
          <w:p>
            <w:pPr>
              <w:jc w:val="left"/>
            </w:pPr>
            <w:r>
              <w:rPr>
                <w:rFonts w:ascii="Calibri" w:hAnsi="Calibri"/>
                <w:sz w:val="19"/>
              </w:rPr>
              <w:t>Intercept (Constant)</w:t>
            </w:r>
          </w:p>
        </w:tc>
        <w:tc>
          <w:tcPr>
            <w:tcW w:type="dxa" w:w="1560"/>
          </w:tcPr>
          <w:p>
            <w:pPr>
              <w:jc w:val="center"/>
            </w:pPr>
            <w:r>
              <w:rPr>
                <w:rFonts w:ascii="Calibri" w:hAnsi="Calibri"/>
                <w:sz w:val="19"/>
              </w:rPr>
              <w:t>0.433</w:t>
            </w:r>
          </w:p>
        </w:tc>
        <w:tc>
          <w:tcPr>
            <w:tcW w:type="dxa" w:w="1560"/>
          </w:tcPr>
          <w:p>
            <w:pPr>
              <w:jc w:val="center"/>
            </w:pPr>
            <w:r>
              <w:rPr>
                <w:rFonts w:ascii="Calibri" w:hAnsi="Calibri"/>
                <w:sz w:val="19"/>
              </w:rPr>
              <w:t>1.628</w:t>
            </w:r>
          </w:p>
        </w:tc>
        <w:tc>
          <w:tcPr>
            <w:tcW w:type="dxa" w:w="1560"/>
          </w:tcPr>
          <w:p>
            <w:pPr>
              <w:jc w:val="center"/>
            </w:pPr>
            <w:r>
              <w:rPr>
                <w:rFonts w:ascii="Calibri" w:hAnsi="Calibri"/>
                <w:sz w:val="19"/>
              </w:rPr>
              <w:t>1.542</w:t>
            </w:r>
          </w:p>
        </w:tc>
        <w:tc>
          <w:tcPr>
            <w:tcW w:type="dxa" w:w="1560"/>
          </w:tcPr>
          <w:p>
            <w:pPr>
              <w:jc w:val="center"/>
            </w:pPr>
            <w:r>
              <w:rPr>
                <w:rFonts w:ascii="Calibri" w:hAnsi="Calibri"/>
                <w:sz w:val="19"/>
              </w:rPr>
              <w:t>0.063 – 37.461</w:t>
            </w:r>
          </w:p>
        </w:tc>
        <w:tc>
          <w:tcPr>
            <w:tcW w:type="dxa" w:w="1560"/>
          </w:tcPr>
          <w:p>
            <w:pPr>
              <w:jc w:val="center"/>
            </w:pPr>
            <w:r>
              <w:rPr>
                <w:rFonts w:ascii="Calibri" w:hAnsi="Calibri"/>
                <w:sz w:val="19"/>
              </w:rPr>
              <w:t>0.790</w:t>
            </w:r>
          </w:p>
        </w:tc>
      </w:tr>
    </w:tbl>
    <w:p>
      <w:pPr>
        <w:spacing w:after="80"/>
      </w:pPr>
    </w:p>
    <w:p>
      <w:pPr>
        <w:spacing w:after="240"/>
        <w:jc w:val="left"/>
      </w:pPr>
      <w:r>
        <w:rPr>
          <w:i/>
          <w:sz w:val="19"/>
        </w:rPr>
        <w:t>Source: Field Survey Data Analysis, 2026. * Statistically significant at p &lt; 0.05. Model Likelihood Ratio χ² = 13.861 (df = 2, p = 0.001). McFadden R² = 0.221; Cox &amp; Snell R² = 0.206; Nagelkerke R² = 0.318. Dependent Variable: Poverty Status (Poor = 1, Non-poor = 0). Reference category for credit access is No (0).</w:t>
      </w:r>
    </w:p>
    <w:p>
      <w:pPr>
        <w:keepNext/>
        <w:spacing w:before="200" w:after="80"/>
      </w:pPr>
      <w:r>
        <w:rPr>
          <w:rFonts w:ascii="Calibri" w:hAnsi="Calibri"/>
          <w:b/>
          <w:color w:val="1F4E78"/>
          <w:sz w:val="26"/>
        </w:rPr>
        <w:t>4.4.4 Interpretation of Model Findings and Sensitivity Analysis</w:t>
      </w:r>
    </w:p>
    <w:p>
      <w:pPr>
        <w:spacing w:after="120" w:line="276" w:lineRule="auto"/>
        <w:jc w:val="left"/>
      </w:pPr>
      <w:r>
        <w:t>The overall binary logistic regression model demonstrated statistically significant fit over the intercept-only model (Likelihood Ratio χ² = 13.861, df = 2, p = 0.001). The model accounted for a substantial proportion of variance in poverty status, yielding a McFadden Pseudo R² of 0.221, a Cox &amp; Snell Pseudo R² of 0.206, and a Nagelkerke Pseudo R² of 0.318.</w:t>
      </w:r>
    </w:p>
    <w:p>
      <w:pPr>
        <w:spacing w:after="120" w:line="276" w:lineRule="auto"/>
        <w:jc w:val="left"/>
      </w:pPr>
      <w:r>
        <w:t>Regarding classification performance, at an optimal decision cutoff of 0.25 (reflecting the sample poverty rate of 21.67%), the model achieved a balanced accuracy of 70.1% (sensitivity = 61.5%, specificity = 78.7%, overall accuracy = 75.0%), demonstrating meaningful discrimination between poor and non-poor households. At the standard 0.50 probability cutoff, overall accuracy was 78.33%; however, this figure is not informative as a measure of model performance because 47 of the 60 households (78.33%) are non-poor. For comparison, assigning every observation to the majority non-poor category would yield 78.33% accuracy but zero sensitivity.</w:t>
      </w:r>
    </w:p>
    <w:p>
      <w:pPr>
        <w:spacing w:after="120" w:line="276" w:lineRule="auto"/>
        <w:jc w:val="left"/>
      </w:pPr>
      <w:r>
        <w:rPr>
          <w:b/>
          <w:color w:val="1F4E78"/>
        </w:rPr>
        <w:t xml:space="preserve">Access to Credit: </w:t>
      </w:r>
      <w:r>
        <w:t>Access to credit was significantly associated with lower odds of being classified as poor (β = -2.598, SE = 1.245, p = 0.037). The estimated odds ratio was OR = 0.074 (95% CI: 0.007 to 0.854). Holding total farm size constant, yam farmers who had access to credit had 92.6% lower odds of being poor compared to farmers without credit access (or equivalently, were significantly more likely to be non-poor). To verify small-sample stability, a Firth penalized logistic regression sensitivity analysis produced a similar direction of association for access to credit (OR = 0.110, 95% CI: 0.014 to 0.891, p = 0.039), providing a sensitivity check on the small-sample logistic regression estimate.</w:t>
      </w:r>
    </w:p>
    <w:p>
      <w:pPr>
        <w:spacing w:after="120" w:line="276" w:lineRule="auto"/>
        <w:jc w:val="left"/>
      </w:pPr>
      <w:r>
        <w:rPr>
          <w:b/>
          <w:color w:val="1F4E78"/>
        </w:rPr>
        <w:t xml:space="preserve">Total Farm Size: </w:t>
      </w:r>
      <w:r>
        <w:t>Total farm size exhibited a negative regression coefficient (β = -0.430, SE = 0.815, OR = 0.651, 95% CI: 0.132 to 3.217), indicating that each additional hectare of land was associated with 34.9% lower odds of poverty. However, in the multivariable model controlling for credit access, this association was not statistically significant (p = 0.598). While total farm size showed a significant bivariate association with poverty status (Mann–Whitney U p = 0.016), its multivariable effect was partially attenuated when controlling for credit access.</w:t>
      </w:r>
    </w:p>
    <w:p>
      <w:pPr>
        <w:keepNext/>
        <w:spacing w:before="200" w:after="80"/>
      </w:pPr>
      <w:r>
        <w:rPr>
          <w:rFonts w:ascii="Calibri" w:hAnsi="Calibri"/>
          <w:b/>
          <w:color w:val="1F4E78"/>
          <w:sz w:val="26"/>
        </w:rPr>
        <w:t>4.4.5 Graphical Presentation of Logistic Regression Odds Ratios</w:t>
      </w:r>
    </w:p>
    <w:p>
      <w:pPr>
        <w:spacing w:after="120" w:line="276" w:lineRule="auto"/>
        <w:jc w:val="left"/>
      </w:pPr>
      <w:r>
        <w:t>Figure 4.4 visually illustrates the estimated odds ratios and corresponding 95% confidence intervals for the factors included in the final binary logistic regression model. Point estimates to the left of the vertical reference line (OR = 1.0) indicate protective factors associated with reduced odds of poverty.</w:t>
      </w:r>
    </w:p>
    <w:p>
      <w:pPr>
        <w:spacing w:before="160" w:after="80"/>
        <w:jc w:val="center"/>
      </w:pPr>
      <w:r>
        <w:drawing>
          <wp:inline xmlns:a="http://schemas.openxmlformats.org/drawingml/2006/main" xmlns:pic="http://schemas.openxmlformats.org/drawingml/2006/picture">
            <wp:extent cx="5669280" cy="2461048"/>
            <wp:docPr id="1" name="Picture 1"/>
            <wp:cNvGraphicFramePr>
              <a:graphicFrameLocks noChangeAspect="1"/>
            </wp:cNvGraphicFramePr>
            <a:graphic>
              <a:graphicData uri="http://schemas.openxmlformats.org/drawingml/2006/picture">
                <pic:pic>
                  <pic:nvPicPr>
                    <pic:cNvPr id="0" name="Figure_4_4_Odds_Ratios_Factors_Poverty.png"/>
                    <pic:cNvPicPr/>
                  </pic:nvPicPr>
                  <pic:blipFill>
                    <a:blip r:embed="rId9"/>
                    <a:stretch>
                      <a:fillRect/>
                    </a:stretch>
                  </pic:blipFill>
                  <pic:spPr>
                    <a:xfrm>
                      <a:off x="0" y="0"/>
                      <a:ext cx="5669280" cy="2461048"/>
                    </a:xfrm>
                    <a:prstGeom prst="rect"/>
                  </pic:spPr>
                </pic:pic>
              </a:graphicData>
            </a:graphic>
          </wp:inline>
        </w:drawing>
      </w:r>
    </w:p>
    <w:p>
      <w:pPr>
        <w:spacing w:after="240"/>
        <w:jc w:val="center"/>
      </w:pPr>
      <w:r>
        <w:rPr>
          <w:b/>
          <w:sz w:val="20"/>
        </w:rPr>
        <w:t>Figure 4.4: Odds Ratios of Factors Associated with Poverty Status among Yam Farmers (Log Scale, 95% CIs)</w:t>
      </w:r>
    </w:p>
    <w:p>
      <w:pPr>
        <w:keepNext/>
        <w:spacing w:before="200" w:after="80"/>
      </w:pPr>
      <w:r>
        <w:rPr>
          <w:rFonts w:ascii="Calibri" w:hAnsi="Calibri"/>
          <w:b/>
          <w:color w:val="1F4E78"/>
          <w:sz w:val="26"/>
        </w:rPr>
        <w:t>4.4.6 Methodological Limitations and Non-Causal Framework</w:t>
      </w:r>
    </w:p>
    <w:p>
      <w:pPr>
        <w:spacing w:after="120" w:line="276" w:lineRule="auto"/>
        <w:jc w:val="left"/>
      </w:pPr>
      <w:r>
        <w:rPr>
          <w:b/>
          <w:color w:val="1F4E78"/>
        </w:rPr>
        <w:t xml:space="preserve">Analytical Considerations: </w:t>
      </w:r>
      <w:r>
        <w:t>In reporting these empirical findings, two key analytical constraints must be explicitly acknowledged:</w:t>
      </w:r>
    </w:p>
    <w:p>
      <w:pPr>
        <w:spacing w:after="120" w:line="276" w:lineRule="auto"/>
        <w:jc w:val="left"/>
      </w:pPr>
      <w:r>
        <w:rPr>
          <w:b/>
          <w:color w:val="1F4E78"/>
        </w:rPr>
        <w:t xml:space="preserve">1. Association vs. Causation: </w:t>
      </w:r>
      <w:r>
        <w:t>Because this study utilizes a cross-sectional questionnaire survey design, all observed statistical relationships represent empirical associations rather than direct causal mechanisms. It cannot be definitively inferred that acquiring credit causes poverty reduction; rather, access to credit is significantly associated with non-poor socio-economic status among yam farming households.</w:t>
      </w:r>
    </w:p>
    <w:p>
      <w:pPr>
        <w:spacing w:after="120" w:line="276" w:lineRule="auto"/>
        <w:jc w:val="left"/>
      </w:pPr>
      <w:r>
        <w:rPr>
          <w:b/>
          <w:color w:val="1F4E78"/>
        </w:rPr>
        <w:t xml:space="preserve">2. Sample Size and Event Constraints: </w:t>
      </w:r>
      <w:r>
        <w:t>The total sample size of N = 60 households and the presence of 13 poverty events impose inherent constraints on multivariable modeling. While the parsimonious two-predictor model is statistically valid, fully converged, and robust, certain agricultural variables (such as extension contact, modern tools, and improved varieties) could not be reliably estimated in standard multivariable regression due to zero-cell separation and extreme category sparsity.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