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before="240"/>
      </w:pPr>
      <w:r>
        <w:rPr>
          <w:rFonts w:ascii="Times New Roman" w:hAnsi="Times New Roman"/>
          <w:b/>
          <w:color w:val="1F3964"/>
          <w:sz w:val="32"/>
        </w:rPr>
        <w:t>5. Component-Level Design</w:t>
      </w:r>
    </w:p>
    <w:p>
      <w:pPr>
        <w:pStyle w:val="Heading2"/>
        <w:spacing w:after="120" w:before="240"/>
      </w:pPr>
      <w:r>
        <w:rPr>
          <w:rFonts w:ascii="Times New Roman" w:hAnsi="Times New Roman"/>
          <w:b/>
          <w:color w:val="1F3964"/>
          <w:sz w:val="28"/>
        </w:rPr>
        <w:t>5.1 Design Classes and Problem Domain Mapping</w:t>
      </w:r>
    </w:p>
    <w:p>
      <w:pPr>
        <w:spacing w:line="276" w:lineRule="auto" w:after="160"/>
        <w:jc w:val="left"/>
      </w:pPr>
      <w:r>
        <w:rPr>
          <w:rFonts w:ascii="Times New Roman" w:hAnsi="Times New Roman"/>
          <w:b w:val="0"/>
          <w:i w:val="0"/>
          <w:sz w:val="24"/>
        </w:rPr>
        <w:t>AutoRestTest is organized into modular backend services, database models, and intelligent engine components, each addressing a distinct problem domain in automated REST API testing. The table below shows how problem domain concepts map to their corresponding design classes in the codebase and their respective system responsibilities:</w:t>
      </w:r>
    </w:p>
    <w:p>
      <w:pPr>
        <w:spacing w:line="276" w:lineRule="auto" w:after="160"/>
        <w:jc w:val="left"/>
      </w:pPr>
      <w:r>
        <w:rPr>
          <w:rFonts w:ascii="Times New Roman" w:hAnsi="Times New Roman"/>
          <w:b w:val="0"/>
          <w:i/>
          <w:sz w:val="24"/>
        </w:rPr>
        <w:t>Table 5.1: Problem Domain to Design Class Mapping</w:t>
      </w:r>
    </w:p>
    <w:tbl>
      <w:tblPr>
        <w:tblStyle w:val="TableGrid"/>
        <w:tblW w:type="auto" w:w="0"/>
        <w:jc w:val="center"/>
        <w:tblLayout w:type="fixed"/>
        <w:tblLook w:firstColumn="1" w:firstRow="1" w:lastColumn="0" w:lastRow="0" w:noHBand="0" w:noVBand="1" w:val="04A0"/>
      </w:tblPr>
      <w:tblGrid>
        <w:gridCol w:w="2160"/>
        <w:gridCol w:w="2880"/>
        <w:gridCol w:w="3600"/>
      </w:tblGrid>
      <w:tr>
        <w:tc>
          <w:tcPr>
            <w:tcW w:type="dxa" w:w="2160"/>
            <w:shd w:fill="F2F2F2"/>
          </w:tcPr>
          <w:p>
            <w:pPr>
              <w:jc w:val="left"/>
            </w:pPr>
            <w:r>
              <w:rPr>
                <w:rFonts w:ascii="Times New Roman" w:hAnsi="Times New Roman"/>
                <w:b/>
                <w:sz w:val="21"/>
              </w:rPr>
              <w:t>Domain Concept</w:t>
            </w:r>
          </w:p>
        </w:tc>
        <w:tc>
          <w:tcPr>
            <w:tcW w:type="dxa" w:w="2880"/>
            <w:shd w:fill="F2F2F2"/>
          </w:tcPr>
          <w:p>
            <w:pPr>
              <w:jc w:val="left"/>
            </w:pPr>
            <w:r>
              <w:rPr>
                <w:rFonts w:ascii="Times New Roman" w:hAnsi="Times New Roman"/>
                <w:b/>
                <w:sz w:val="21"/>
              </w:rPr>
              <w:t>Design Class</w:t>
            </w:r>
          </w:p>
        </w:tc>
        <w:tc>
          <w:tcPr>
            <w:tcW w:type="dxa" w:w="3600"/>
            <w:shd w:fill="F2F2F2"/>
          </w:tcPr>
          <w:p>
            <w:pPr>
              <w:jc w:val="left"/>
            </w:pPr>
            <w:r>
              <w:rPr>
                <w:rFonts w:ascii="Times New Roman" w:hAnsi="Times New Roman"/>
                <w:b/>
                <w:sz w:val="21"/>
              </w:rPr>
              <w:t>Responsibilities</w:t>
            </w:r>
          </w:p>
        </w:tc>
      </w:tr>
      <w:tr>
        <w:tc>
          <w:tcPr>
            <w:tcW w:type="dxa" w:w="2160"/>
          </w:tcPr>
          <w:p>
            <w:pPr>
              <w:jc w:val="left"/>
            </w:pPr>
            <w:r>
              <w:rPr>
                <w:rFonts w:ascii="Times New Roman" w:hAnsi="Times New Roman"/>
                <w:sz w:val="20"/>
              </w:rPr>
              <w:t>User Accounts</w:t>
            </w:r>
          </w:p>
        </w:tc>
        <w:tc>
          <w:tcPr>
            <w:tcW w:type="dxa" w:w="2880"/>
          </w:tcPr>
          <w:p>
            <w:pPr>
              <w:jc w:val="left"/>
            </w:pPr>
            <w:r>
              <w:rPr>
                <w:rFonts w:ascii="Times New Roman" w:hAnsi="Times New Roman"/>
                <w:sz w:val="20"/>
              </w:rPr>
              <w:t>User model + AuthService</w:t>
            </w:r>
          </w:p>
        </w:tc>
        <w:tc>
          <w:tcPr>
            <w:tcW w:type="dxa" w:w="3600"/>
          </w:tcPr>
          <w:p>
            <w:pPr>
              <w:jc w:val="left"/>
            </w:pPr>
            <w:r>
              <w:rPr>
                <w:rFonts w:ascii="Times New Roman" w:hAnsi="Times New Roman"/>
                <w:sz w:val="20"/>
              </w:rPr>
              <w:t>User registration, password hashing (Argon2), credential validation, and JWT session token issuance.</w:t>
            </w:r>
          </w:p>
        </w:tc>
      </w:tr>
      <w:tr>
        <w:tc>
          <w:tcPr>
            <w:tcW w:type="dxa" w:w="2160"/>
          </w:tcPr>
          <w:p>
            <w:pPr>
              <w:jc w:val="left"/>
            </w:pPr>
            <w:r>
              <w:rPr>
                <w:rFonts w:ascii="Times New Roman" w:hAnsi="Times New Roman"/>
                <w:sz w:val="20"/>
              </w:rPr>
              <w:t>Signup OTP Verification</w:t>
            </w:r>
          </w:p>
        </w:tc>
        <w:tc>
          <w:tcPr>
            <w:tcW w:type="dxa" w:w="2880"/>
          </w:tcPr>
          <w:p>
            <w:pPr>
              <w:jc w:val="left"/>
            </w:pPr>
            <w:r>
              <w:rPr>
                <w:rFonts w:ascii="Times New Roman" w:hAnsi="Times New Roman"/>
                <w:sz w:val="20"/>
              </w:rPr>
              <w:t>PendingSignup model + SignupService</w:t>
            </w:r>
          </w:p>
        </w:tc>
        <w:tc>
          <w:tcPr>
            <w:tcW w:type="dxa" w:w="3600"/>
          </w:tcPr>
          <w:p>
            <w:pPr>
              <w:jc w:val="left"/>
            </w:pPr>
            <w:r>
              <w:rPr>
                <w:rFonts w:ascii="Times New Roman" w:hAnsi="Times New Roman"/>
                <w:sz w:val="20"/>
              </w:rPr>
              <w:t>Pre-registration identity staging, 6-digit email confirmation codes, rate-limiting, and anti-squatting address protection.</w:t>
            </w:r>
          </w:p>
        </w:tc>
      </w:tr>
      <w:tr>
        <w:tc>
          <w:tcPr>
            <w:tcW w:type="dxa" w:w="2160"/>
          </w:tcPr>
          <w:p>
            <w:pPr>
              <w:jc w:val="left"/>
            </w:pPr>
            <w:r>
              <w:rPr>
                <w:rFonts w:ascii="Times New Roman" w:hAnsi="Times New Roman"/>
                <w:sz w:val="20"/>
              </w:rPr>
              <w:t>Password Recovery &amp; Tokens</w:t>
            </w:r>
          </w:p>
        </w:tc>
        <w:tc>
          <w:tcPr>
            <w:tcW w:type="dxa" w:w="2880"/>
          </w:tcPr>
          <w:p>
            <w:pPr>
              <w:jc w:val="left"/>
            </w:pPr>
            <w:r>
              <w:rPr>
                <w:rFonts w:ascii="Times New Roman" w:hAnsi="Times New Roman"/>
                <w:sz w:val="20"/>
              </w:rPr>
              <w:t>AuthToken model + TokensService</w:t>
            </w:r>
          </w:p>
        </w:tc>
        <w:tc>
          <w:tcPr>
            <w:tcW w:type="dxa" w:w="3600"/>
          </w:tcPr>
          <w:p>
            <w:pPr>
              <w:jc w:val="left"/>
            </w:pPr>
            <w:r>
              <w:rPr>
                <w:rFonts w:ascii="Times New Roman" w:hAnsi="Times New Roman"/>
                <w:sz w:val="20"/>
              </w:rPr>
              <w:t>Single-use, time-limited security token issuance, validation, and invalidation for password reset workflows.</w:t>
            </w:r>
          </w:p>
        </w:tc>
      </w:tr>
      <w:tr>
        <w:tc>
          <w:tcPr>
            <w:tcW w:type="dxa" w:w="2160"/>
          </w:tcPr>
          <w:p>
            <w:pPr>
              <w:jc w:val="left"/>
            </w:pPr>
            <w:r>
              <w:rPr>
                <w:rFonts w:ascii="Times New Roman" w:hAnsi="Times New Roman"/>
                <w:sz w:val="20"/>
              </w:rPr>
              <w:t>Transactional Email Dispatch</w:t>
            </w:r>
          </w:p>
        </w:tc>
        <w:tc>
          <w:tcPr>
            <w:tcW w:type="dxa" w:w="2880"/>
          </w:tcPr>
          <w:p>
            <w:pPr>
              <w:jc w:val="left"/>
            </w:pPr>
            <w:r>
              <w:rPr>
                <w:rFonts w:ascii="Times New Roman" w:hAnsi="Times New Roman"/>
                <w:sz w:val="20"/>
              </w:rPr>
              <w:t>EmailService</w:t>
            </w:r>
          </w:p>
        </w:tc>
        <w:tc>
          <w:tcPr>
            <w:tcW w:type="dxa" w:w="3600"/>
          </w:tcPr>
          <w:p>
            <w:pPr>
              <w:jc w:val="left"/>
            </w:pPr>
            <w:r>
              <w:rPr>
                <w:rFonts w:ascii="Times New Roman" w:hAnsi="Times New Roman"/>
                <w:sz w:val="20"/>
              </w:rPr>
              <w:t>Asynchronous dispatch of verification codes, password reset links, and collaborator invitation notifications.</w:t>
            </w:r>
          </w:p>
        </w:tc>
      </w:tr>
      <w:tr>
        <w:tc>
          <w:tcPr>
            <w:tcW w:type="dxa" w:w="2160"/>
          </w:tcPr>
          <w:p>
            <w:pPr>
              <w:jc w:val="left"/>
            </w:pPr>
            <w:r>
              <w:rPr>
                <w:rFonts w:ascii="Times New Roman" w:hAnsi="Times New Roman"/>
                <w:sz w:val="20"/>
              </w:rPr>
              <w:t>Project Workspaces</w:t>
            </w:r>
          </w:p>
        </w:tc>
        <w:tc>
          <w:tcPr>
            <w:tcW w:type="dxa" w:w="2880"/>
          </w:tcPr>
          <w:p>
            <w:pPr>
              <w:jc w:val="left"/>
            </w:pPr>
            <w:r>
              <w:rPr>
                <w:rFonts w:ascii="Times New Roman" w:hAnsi="Times New Roman"/>
                <w:sz w:val="20"/>
              </w:rPr>
              <w:t>Project model + ProjectsService</w:t>
            </w:r>
          </w:p>
        </w:tc>
        <w:tc>
          <w:tcPr>
            <w:tcW w:type="dxa" w:w="3600"/>
          </w:tcPr>
          <w:p>
            <w:pPr>
              <w:jc w:val="left"/>
            </w:pPr>
            <w:r>
              <w:rPr>
                <w:rFonts w:ascii="Times New Roman" w:hAnsi="Times New Roman"/>
                <w:sz w:val="20"/>
              </w:rPr>
              <w:t>Multi-tenant workspace partitioning, project ownership, metadata management, and cross-project data isolation.</w:t>
            </w:r>
          </w:p>
        </w:tc>
      </w:tr>
      <w:tr>
        <w:tc>
          <w:tcPr>
            <w:tcW w:type="dxa" w:w="2160"/>
          </w:tcPr>
          <w:p>
            <w:pPr>
              <w:jc w:val="left"/>
            </w:pPr>
            <w:r>
              <w:rPr>
                <w:rFonts w:ascii="Times New Roman" w:hAnsi="Times New Roman"/>
                <w:sz w:val="20"/>
              </w:rPr>
              <w:t>Role-Based Access Control</w:t>
            </w:r>
          </w:p>
        </w:tc>
        <w:tc>
          <w:tcPr>
            <w:tcW w:type="dxa" w:w="2880"/>
          </w:tcPr>
          <w:p>
            <w:pPr>
              <w:jc w:val="left"/>
            </w:pPr>
            <w:r>
              <w:rPr>
                <w:rFonts w:ascii="Times New Roman" w:hAnsi="Times New Roman"/>
                <w:sz w:val="20"/>
              </w:rPr>
              <w:t>ProjectMember model + MembersService + ProjectAccessService</w:t>
            </w:r>
          </w:p>
        </w:tc>
        <w:tc>
          <w:tcPr>
            <w:tcW w:type="dxa" w:w="3600"/>
          </w:tcPr>
          <w:p>
            <w:pPr>
              <w:jc w:val="left"/>
            </w:pPr>
            <w:r>
              <w:rPr>
                <w:rFonts w:ascii="Times New Roman" w:hAnsi="Times New Roman"/>
                <w:sz w:val="20"/>
              </w:rPr>
              <w:t>Granular permission enforcement (admin, tester, viewer) guarding endpoints, test execution, and project settings.</w:t>
            </w:r>
          </w:p>
        </w:tc>
      </w:tr>
      <w:tr>
        <w:tc>
          <w:tcPr>
            <w:tcW w:type="dxa" w:w="2160"/>
          </w:tcPr>
          <w:p>
            <w:pPr>
              <w:jc w:val="left"/>
            </w:pPr>
            <w:r>
              <w:rPr>
                <w:rFonts w:ascii="Times New Roman" w:hAnsi="Times New Roman"/>
                <w:sz w:val="20"/>
              </w:rPr>
              <w:t>Collaborator Invitations</w:t>
            </w:r>
          </w:p>
        </w:tc>
        <w:tc>
          <w:tcPr>
            <w:tcW w:type="dxa" w:w="2880"/>
          </w:tcPr>
          <w:p>
            <w:pPr>
              <w:jc w:val="left"/>
            </w:pPr>
            <w:r>
              <w:rPr>
                <w:rFonts w:ascii="Times New Roman" w:hAnsi="Times New Roman"/>
                <w:sz w:val="20"/>
              </w:rPr>
              <w:t>ProjectInvitation model + InvitationsService</w:t>
            </w:r>
          </w:p>
        </w:tc>
        <w:tc>
          <w:tcPr>
            <w:tcW w:type="dxa" w:w="3600"/>
          </w:tcPr>
          <w:p>
            <w:pPr>
              <w:jc w:val="left"/>
            </w:pPr>
            <w:r>
              <w:rPr>
                <w:rFonts w:ascii="Times New Roman" w:hAnsi="Times New Roman"/>
                <w:sz w:val="20"/>
              </w:rPr>
              <w:t>Secure tokenized email invitations, role pre-assignment, and acceptance/revocation lifecycle tracking.</w:t>
            </w:r>
          </w:p>
        </w:tc>
      </w:tr>
      <w:tr>
        <w:tc>
          <w:tcPr>
            <w:tcW w:type="dxa" w:w="2160"/>
          </w:tcPr>
          <w:p>
            <w:pPr>
              <w:jc w:val="left"/>
            </w:pPr>
            <w:r>
              <w:rPr>
                <w:rFonts w:ascii="Times New Roman" w:hAnsi="Times New Roman"/>
                <w:sz w:val="20"/>
              </w:rPr>
              <w:t>Specification Ingestion</w:t>
            </w:r>
          </w:p>
        </w:tc>
        <w:tc>
          <w:tcPr>
            <w:tcW w:type="dxa" w:w="2880"/>
          </w:tcPr>
          <w:p>
            <w:pPr>
              <w:jc w:val="left"/>
            </w:pPr>
            <w:r>
              <w:rPr>
                <w:rFonts w:ascii="Times New Roman" w:hAnsi="Times New Roman"/>
                <w:sz w:val="20"/>
              </w:rPr>
              <w:t>ApiSpecification model + SpecsService + SpecificationParser</w:t>
            </w:r>
          </w:p>
        </w:tc>
        <w:tc>
          <w:tcPr>
            <w:tcW w:type="dxa" w:w="3600"/>
          </w:tcPr>
          <w:p>
            <w:pPr>
              <w:jc w:val="left"/>
            </w:pPr>
            <w:r>
              <w:rPr>
                <w:rFonts w:ascii="Times New Roman" w:hAnsi="Times New Roman"/>
                <w:sz w:val="20"/>
              </w:rPr>
              <w:t>OpenAPI 3.0 parsing (JSON/YAML), circular reference resolution (prance), schema validation, and specification updates.</w:t>
            </w:r>
          </w:p>
        </w:tc>
      </w:tr>
      <w:tr>
        <w:tc>
          <w:tcPr>
            <w:tcW w:type="dxa" w:w="2160"/>
          </w:tcPr>
          <w:p>
            <w:pPr>
              <w:jc w:val="left"/>
            </w:pPr>
            <w:r>
              <w:rPr>
                <w:rFonts w:ascii="Times New Roman" w:hAnsi="Times New Roman"/>
                <w:sz w:val="20"/>
              </w:rPr>
              <w:t>AI Spec Generation</w:t>
            </w:r>
          </w:p>
        </w:tc>
        <w:tc>
          <w:tcPr>
            <w:tcW w:type="dxa" w:w="2880"/>
          </w:tcPr>
          <w:p>
            <w:pPr>
              <w:jc w:val="left"/>
            </w:pPr>
            <w:r>
              <w:rPr>
                <w:rFonts w:ascii="Times New Roman" w:hAnsi="Times New Roman"/>
                <w:sz w:val="20"/>
              </w:rPr>
              <w:t>SpecGeneration model + SpecGenerationService + GenerationManager</w:t>
            </w:r>
          </w:p>
        </w:tc>
        <w:tc>
          <w:tcPr>
            <w:tcW w:type="dxa" w:w="3600"/>
          </w:tcPr>
          <w:p>
            <w:pPr>
              <w:jc w:val="left"/>
            </w:pPr>
            <w:r>
              <w:rPr>
                <w:rFonts w:ascii="Times New Roman" w:hAnsi="Times New Roman"/>
                <w:sz w:val="20"/>
              </w:rPr>
              <w:t>Source code archive staging, OOPS LLM extraction orchestration, OpenAPI schema generation, and staging review/apply workflow.</w:t>
            </w:r>
          </w:p>
        </w:tc>
      </w:tr>
      <w:tr>
        <w:tc>
          <w:tcPr>
            <w:tcW w:type="dxa" w:w="2160"/>
          </w:tcPr>
          <w:p>
            <w:pPr>
              <w:jc w:val="left"/>
            </w:pPr>
            <w:r>
              <w:rPr>
                <w:rFonts w:ascii="Times New Roman" w:hAnsi="Times New Roman"/>
                <w:sz w:val="20"/>
              </w:rPr>
              <w:t>API Endpoints &amp; Schemas</w:t>
            </w:r>
          </w:p>
        </w:tc>
        <w:tc>
          <w:tcPr>
            <w:tcW w:type="dxa" w:w="2880"/>
          </w:tcPr>
          <w:p>
            <w:pPr>
              <w:jc w:val="left"/>
            </w:pPr>
            <w:r>
              <w:rPr>
                <w:rFonts w:ascii="Times New Roman" w:hAnsi="Times New Roman"/>
                <w:sz w:val="20"/>
              </w:rPr>
              <w:t>Endpoint model + EndpointsService</w:t>
            </w:r>
          </w:p>
        </w:tc>
        <w:tc>
          <w:tcPr>
            <w:tcW w:type="dxa" w:w="3600"/>
          </w:tcPr>
          <w:p>
            <w:pPr>
              <w:jc w:val="left"/>
            </w:pPr>
            <w:r>
              <w:rPr>
                <w:rFonts w:ascii="Times New Roman" w:hAnsi="Times New Roman"/>
                <w:sz w:val="20"/>
              </w:rPr>
              <w:t>Route extraction, parameter metadata indexing, manual endpoint injection, and route search/filtering.</w:t>
            </w:r>
          </w:p>
        </w:tc>
      </w:tr>
      <w:tr>
        <w:tc>
          <w:tcPr>
            <w:tcW w:type="dxa" w:w="2160"/>
          </w:tcPr>
          <w:p>
            <w:pPr>
              <w:jc w:val="left"/>
            </w:pPr>
            <w:r>
              <w:rPr>
                <w:rFonts w:ascii="Times New Roman" w:hAnsi="Times New Roman"/>
                <w:sz w:val="20"/>
              </w:rPr>
              <w:t>Semantic Dependency Graph</w:t>
            </w:r>
          </w:p>
        </w:tc>
        <w:tc>
          <w:tcPr>
            <w:tcW w:type="dxa" w:w="2880"/>
          </w:tcPr>
          <w:p>
            <w:pPr>
              <w:jc w:val="left"/>
            </w:pPr>
            <w:r>
              <w:rPr>
                <w:rFonts w:ascii="Times New Roman" w:hAnsi="Times New Roman"/>
                <w:sz w:val="20"/>
              </w:rPr>
              <w:t>DependencyGraph model + GraphService + OperationGraph</w:t>
            </w:r>
          </w:p>
        </w:tc>
        <w:tc>
          <w:tcPr>
            <w:tcW w:type="dxa" w:w="3600"/>
          </w:tcPr>
          <w:p>
            <w:pPr>
              <w:jc w:val="left"/>
            </w:pPr>
            <w:r>
              <w:rPr>
                <w:rFonts w:ascii="Times New Roman" w:hAnsi="Times New Roman"/>
                <w:sz w:val="20"/>
              </w:rPr>
              <w:t>Directed graph generation mapping API operations to potential data-flow dependencies; supports Focus View topology.</w:t>
            </w:r>
          </w:p>
        </w:tc>
      </w:tr>
      <w:tr>
        <w:tc>
          <w:tcPr>
            <w:tcW w:type="dxa" w:w="2160"/>
          </w:tcPr>
          <w:p>
            <w:pPr>
              <w:jc w:val="left"/>
            </w:pPr>
            <w:r>
              <w:rPr>
                <w:rFonts w:ascii="Times New Roman" w:hAnsi="Times New Roman"/>
                <w:sz w:val="20"/>
              </w:rPr>
              <w:t>Semantic Similarity Embedding</w:t>
            </w:r>
          </w:p>
        </w:tc>
        <w:tc>
          <w:tcPr>
            <w:tcW w:type="dxa" w:w="2880"/>
          </w:tcPr>
          <w:p>
            <w:pPr>
              <w:jc w:val="left"/>
            </w:pPr>
            <w:r>
              <w:rPr>
                <w:rFonts w:ascii="Times New Roman" w:hAnsi="Times New Roman"/>
                <w:sz w:val="20"/>
              </w:rPr>
              <w:t>OperationDependencyComparator + EmbeddingModel</w:t>
            </w:r>
          </w:p>
        </w:tc>
        <w:tc>
          <w:tcPr>
            <w:tcW w:type="dxa" w:w="3600"/>
          </w:tcPr>
          <w:p>
            <w:pPr>
              <w:jc w:val="left"/>
            </w:pPr>
            <w:r>
              <w:rPr>
                <w:rFonts w:ascii="Times New Roman" w:hAnsi="Times New Roman"/>
                <w:sz w:val="20"/>
              </w:rPr>
              <w:t>Cosine similarity calculation over property names and schemas using word embeddings to identify producer-consumer relations.</w:t>
            </w:r>
          </w:p>
        </w:tc>
      </w:tr>
      <w:tr>
        <w:tc>
          <w:tcPr>
            <w:tcW w:type="dxa" w:w="2160"/>
          </w:tcPr>
          <w:p>
            <w:pPr>
              <w:jc w:val="left"/>
            </w:pPr>
            <w:r>
              <w:rPr>
                <w:rFonts w:ascii="Times New Roman" w:hAnsi="Times New Roman"/>
                <w:sz w:val="20"/>
              </w:rPr>
              <w:t>Graph &amp; State Caching</w:t>
            </w:r>
          </w:p>
        </w:tc>
        <w:tc>
          <w:tcPr>
            <w:tcW w:type="dxa" w:w="2880"/>
          </w:tcPr>
          <w:p>
            <w:pPr>
              <w:jc w:val="left"/>
            </w:pPr>
            <w:r>
              <w:rPr>
                <w:rFonts w:ascii="Times New Roman" w:hAnsi="Times New Roman"/>
                <w:sz w:val="20"/>
              </w:rPr>
              <w:t>CacheConfig + disk cache (shelve)</w:t>
            </w:r>
          </w:p>
        </w:tc>
        <w:tc>
          <w:tcPr>
            <w:tcW w:type="dxa" w:w="3600"/>
          </w:tcPr>
          <w:p>
            <w:pPr>
              <w:jc w:val="left"/>
            </w:pPr>
            <w:r>
              <w:rPr>
                <w:rFonts w:ascii="Times New Roman" w:hAnsi="Times New Roman"/>
                <w:sz w:val="20"/>
              </w:rPr>
              <w:t>Content-addressed caching (spec_&lt;sha256&gt;) of embeddings, graphs, and Q-tables to bypass redundant LLM computation.</w:t>
            </w:r>
          </w:p>
        </w:tc>
      </w:tr>
      <w:tr>
        <w:tc>
          <w:tcPr>
            <w:tcW w:type="dxa" w:w="2160"/>
          </w:tcPr>
          <w:p>
            <w:pPr>
              <w:jc w:val="left"/>
            </w:pPr>
            <w:r>
              <w:rPr>
                <w:rFonts w:ascii="Times New Roman" w:hAnsi="Times New Roman"/>
                <w:sz w:val="20"/>
              </w:rPr>
              <w:t>Test Run Orchestration</w:t>
            </w:r>
          </w:p>
        </w:tc>
        <w:tc>
          <w:tcPr>
            <w:tcW w:type="dxa" w:w="2880"/>
          </w:tcPr>
          <w:p>
            <w:pPr>
              <w:jc w:val="left"/>
            </w:pPr>
            <w:r>
              <w:rPr>
                <w:rFonts w:ascii="Times New Roman" w:hAnsi="Times New Roman"/>
                <w:sz w:val="20"/>
              </w:rPr>
              <w:t>TestSuite model + TestSuitesService + JobManager</w:t>
            </w:r>
          </w:p>
        </w:tc>
        <w:tc>
          <w:tcPr>
            <w:tcW w:type="dxa" w:w="3600"/>
          </w:tcPr>
          <w:p>
            <w:pPr>
              <w:jc w:val="left"/>
            </w:pPr>
            <w:r>
              <w:rPr>
                <w:rFonts w:ascii="Times New Roman" w:hAnsi="Times New Roman"/>
                <w:sz w:val="20"/>
              </w:rPr>
              <w:t>Test execution session management (time budgets, base URLs, route exclusions), engine process spawning, and status polling.</w:t>
            </w:r>
          </w:p>
        </w:tc>
      </w:tr>
      <w:tr>
        <w:tc>
          <w:tcPr>
            <w:tcW w:type="dxa" w:w="2160"/>
          </w:tcPr>
          <w:p>
            <w:pPr>
              <w:jc w:val="left"/>
            </w:pPr>
            <w:r>
              <w:rPr>
                <w:rFonts w:ascii="Times New Roman" w:hAnsi="Times New Roman"/>
                <w:sz w:val="20"/>
              </w:rPr>
              <w:t>Multi-Agent RL (MARL)</w:t>
            </w:r>
          </w:p>
        </w:tc>
        <w:tc>
          <w:tcPr>
            <w:tcW w:type="dxa" w:w="2880"/>
          </w:tcPr>
          <w:p>
            <w:pPr>
              <w:jc w:val="left"/>
            </w:pPr>
            <w:r>
              <w:rPr>
                <w:rFonts w:ascii="Times New Roman" w:hAnsi="Times New Roman"/>
                <w:sz w:val="20"/>
              </w:rPr>
              <w:t>AutoRestTest + QLearning (autoresttest-core)</w:t>
            </w:r>
          </w:p>
        </w:tc>
        <w:tc>
          <w:tcPr>
            <w:tcW w:type="dxa" w:w="3600"/>
          </w:tcPr>
          <w:p>
            <w:pPr>
              <w:jc w:val="left"/>
            </w:pPr>
            <w:r>
              <w:rPr>
                <w:rFonts w:ascii="Times New Roman" w:hAnsi="Times New Roman"/>
                <w:sz w:val="20"/>
              </w:rPr>
              <w:t>Value-decomposition Q-learning loop, temporal-difference updates, agent coordination, and epsilon-greedy exploration decay.</w:t>
            </w:r>
          </w:p>
        </w:tc>
      </w:tr>
      <w:tr>
        <w:tc>
          <w:tcPr>
            <w:tcW w:type="dxa" w:w="2160"/>
          </w:tcPr>
          <w:p>
            <w:pPr>
              <w:jc w:val="left"/>
            </w:pPr>
            <w:r>
              <w:rPr>
                <w:rFonts w:ascii="Times New Roman" w:hAnsi="Times New Roman"/>
                <w:sz w:val="20"/>
              </w:rPr>
              <w:t>LLM Contextual Value Generation</w:t>
            </w:r>
          </w:p>
        </w:tc>
        <w:tc>
          <w:tcPr>
            <w:tcW w:type="dxa" w:w="2880"/>
          </w:tcPr>
          <w:p>
            <w:pPr>
              <w:jc w:val="left"/>
            </w:pPr>
            <w:r>
              <w:rPr>
                <w:rFonts w:ascii="Times New Roman" w:hAnsi="Times New Roman"/>
                <w:sz w:val="20"/>
              </w:rPr>
              <w:t>SmartValueGenerator + LanguageModel</w:t>
            </w:r>
          </w:p>
        </w:tc>
        <w:tc>
          <w:tcPr>
            <w:tcW w:type="dxa" w:w="3600"/>
          </w:tcPr>
          <w:p>
            <w:pPr>
              <w:jc w:val="left"/>
            </w:pPr>
            <w:r>
              <w:rPr>
                <w:rFonts w:ascii="Times New Roman" w:hAnsi="Times New Roman"/>
                <w:sz w:val="20"/>
              </w:rPr>
              <w:t>Pre-generating realistic, context-aware parameter and body payload values via few-shot structured JSON prompts.</w:t>
            </w:r>
          </w:p>
        </w:tc>
      </w:tr>
      <w:tr>
        <w:tc>
          <w:tcPr>
            <w:tcW w:type="dxa" w:w="2160"/>
          </w:tcPr>
          <w:p>
            <w:pPr>
              <w:jc w:val="left"/>
            </w:pPr>
            <w:r>
              <w:rPr>
                <w:rFonts w:ascii="Times New Roman" w:hAnsi="Times New Roman"/>
                <w:sz w:val="20"/>
              </w:rPr>
              <w:t>Dynamic Dependency Data Reuse</w:t>
            </w:r>
          </w:p>
        </w:tc>
        <w:tc>
          <w:tcPr>
            <w:tcW w:type="dxa" w:w="2880"/>
          </w:tcPr>
          <w:p>
            <w:pPr>
              <w:jc w:val="left"/>
            </w:pPr>
            <w:r>
              <w:rPr>
                <w:rFonts w:ascii="Times New Roman" w:hAnsi="Times New Roman"/>
                <w:sz w:val="20"/>
              </w:rPr>
              <w:t>DataSourceAgent + DependencyAgent</w:t>
            </w:r>
          </w:p>
        </w:tc>
        <w:tc>
          <w:tcPr>
            <w:tcW w:type="dxa" w:w="3600"/>
          </w:tcPr>
          <w:p>
            <w:pPr>
              <w:jc w:val="left"/>
            </w:pPr>
            <w:r>
              <w:rPr>
                <w:rFonts w:ascii="Times New Roman" w:hAnsi="Times New Roman"/>
                <w:sz w:val="20"/>
              </w:rPr>
              <w:t>Runtime extraction of identifiers and values from successful 2xx responses and feeding them into downstream dependent requests.</w:t>
            </w:r>
          </w:p>
        </w:tc>
      </w:tr>
      <w:tr>
        <w:tc>
          <w:tcPr>
            <w:tcW w:type="dxa" w:w="2160"/>
          </w:tcPr>
          <w:p>
            <w:pPr>
              <w:jc w:val="left"/>
            </w:pPr>
            <w:r>
              <w:rPr>
                <w:rFonts w:ascii="Times New Roman" w:hAnsi="Times New Roman"/>
                <w:sz w:val="20"/>
              </w:rPr>
              <w:t>Request Mutation &amp; Fuzzing</w:t>
            </w:r>
          </w:p>
        </w:tc>
        <w:tc>
          <w:tcPr>
            <w:tcW w:type="dxa" w:w="2880"/>
          </w:tcPr>
          <w:p>
            <w:pPr>
              <w:jc w:val="left"/>
            </w:pPr>
            <w:r>
              <w:rPr>
                <w:rFonts w:ascii="Times New Roman" w:hAnsi="Times New Roman"/>
                <w:sz w:val="20"/>
              </w:rPr>
              <w:t>RequestGenerator (autoresttest-core)</w:t>
            </w:r>
          </w:p>
        </w:tc>
        <w:tc>
          <w:tcPr>
            <w:tcW w:type="dxa" w:w="3600"/>
          </w:tcPr>
          <w:p>
            <w:pPr>
              <w:jc w:val="left"/>
            </w:pPr>
            <w:r>
              <w:rPr>
                <w:rFonts w:ascii="Times New Roman" w:hAnsi="Times New Roman"/>
                <w:sz w:val="20"/>
              </w:rPr>
              <w:t>Assembling HTTP payloads and applying 20% negative mutations (type tampering, missing keys, boundary values) to probe 5xx errors.</w:t>
            </w:r>
          </w:p>
        </w:tc>
      </w:tr>
      <w:tr>
        <w:tc>
          <w:tcPr>
            <w:tcW w:type="dxa" w:w="2160"/>
          </w:tcPr>
          <w:p>
            <w:pPr>
              <w:jc w:val="left"/>
            </w:pPr>
            <w:r>
              <w:rPr>
                <w:rFonts w:ascii="Times New Roman" w:hAnsi="Times New Roman"/>
                <w:sz w:val="20"/>
              </w:rPr>
              <w:t>Captured HTTP Request Logging</w:t>
            </w:r>
          </w:p>
        </w:tc>
        <w:tc>
          <w:tcPr>
            <w:tcW w:type="dxa" w:w="2880"/>
          </w:tcPr>
          <w:p>
            <w:pPr>
              <w:jc w:val="left"/>
            </w:pPr>
            <w:r>
              <w:rPr>
                <w:rFonts w:ascii="Times New Roman" w:hAnsi="Times New Roman"/>
                <w:sz w:val="20"/>
              </w:rPr>
              <w:t>TestCase model + RequestLog model</w:t>
            </w:r>
          </w:p>
        </w:tc>
        <w:tc>
          <w:tcPr>
            <w:tcW w:type="dxa" w:w="3600"/>
          </w:tcPr>
          <w:p>
            <w:pPr>
              <w:jc w:val="left"/>
            </w:pPr>
            <w:r>
              <w:rPr>
                <w:rFonts w:ascii="Times New Roman" w:hAnsi="Times New Roman"/>
                <w:sz w:val="20"/>
              </w:rPr>
              <w:t>High-fidelity recording of every sent HTTP request (URL, method, headers, payload, response code, latency, response body).</w:t>
            </w:r>
          </w:p>
        </w:tc>
      </w:tr>
      <w:tr>
        <w:tc>
          <w:tcPr>
            <w:tcW w:type="dxa" w:w="2160"/>
          </w:tcPr>
          <w:p>
            <w:pPr>
              <w:jc w:val="left"/>
            </w:pPr>
            <w:r>
              <w:rPr>
                <w:rFonts w:ascii="Times New Roman" w:hAnsi="Times New Roman"/>
                <w:sz w:val="20"/>
              </w:rPr>
              <w:t>Execution Replay</w:t>
            </w:r>
          </w:p>
        </w:tc>
        <w:tc>
          <w:tcPr>
            <w:tcW w:type="dxa" w:w="2880"/>
          </w:tcPr>
          <w:p>
            <w:pPr>
              <w:jc w:val="left"/>
            </w:pPr>
            <w:r>
              <w:rPr>
                <w:rFonts w:ascii="Times New Roman" w:hAnsi="Times New Roman"/>
                <w:sz w:val="20"/>
              </w:rPr>
              <w:t>TestSuitesService (Replay Mode)</w:t>
            </w:r>
          </w:p>
        </w:tc>
        <w:tc>
          <w:tcPr>
            <w:tcW w:type="dxa" w:w="3600"/>
          </w:tcPr>
          <w:p>
            <w:pPr>
              <w:jc w:val="left"/>
            </w:pPr>
            <w:r>
              <w:rPr>
                <w:rFonts w:ascii="Times New Roman" w:hAnsi="Times New Roman"/>
                <w:sz w:val="20"/>
              </w:rPr>
              <w:t>Deterministic sequential re-execution of previously captured HTTP request sequences without re-calling the AI engine.</w:t>
            </w:r>
          </w:p>
        </w:tc>
      </w:tr>
      <w:tr>
        <w:tc>
          <w:tcPr>
            <w:tcW w:type="dxa" w:w="2160"/>
          </w:tcPr>
          <w:p>
            <w:pPr>
              <w:jc w:val="left"/>
            </w:pPr>
            <w:r>
              <w:rPr>
                <w:rFonts w:ascii="Times New Roman" w:hAnsi="Times New Roman"/>
                <w:sz w:val="20"/>
              </w:rPr>
              <w:t>AI Request Descriptions</w:t>
            </w:r>
          </w:p>
        </w:tc>
        <w:tc>
          <w:tcPr>
            <w:tcW w:type="dxa" w:w="2880"/>
          </w:tcPr>
          <w:p>
            <w:pPr>
              <w:jc w:val="left"/>
            </w:pPr>
            <w:r>
              <w:rPr>
                <w:rFonts w:ascii="Times New Roman" w:hAnsi="Times New Roman"/>
                <w:sz w:val="20"/>
              </w:rPr>
              <w:t>RequestDescriptionsService</w:t>
            </w:r>
          </w:p>
        </w:tc>
        <w:tc>
          <w:tcPr>
            <w:tcW w:type="dxa" w:w="3600"/>
          </w:tcPr>
          <w:p>
            <w:pPr>
              <w:jc w:val="left"/>
            </w:pPr>
            <w:r>
              <w:rPr>
                <w:rFonts w:ascii="Times New Roman" w:hAnsi="Times New Roman"/>
                <w:sz w:val="20"/>
              </w:rPr>
              <w:t>Automated batch generation of plain-English summaries explaining the purpose and payload of each executed HTTP test case.</w:t>
            </w:r>
          </w:p>
        </w:tc>
      </w:tr>
      <w:tr>
        <w:tc>
          <w:tcPr>
            <w:tcW w:type="dxa" w:w="2160"/>
          </w:tcPr>
          <w:p>
            <w:pPr>
              <w:jc w:val="left"/>
            </w:pPr>
            <w:r>
              <w:rPr>
                <w:rFonts w:ascii="Times New Roman" w:hAnsi="Times New Roman"/>
                <w:sz w:val="20"/>
              </w:rPr>
              <w:t>Test Analytics &amp; Export</w:t>
            </w:r>
          </w:p>
        </w:tc>
        <w:tc>
          <w:tcPr>
            <w:tcW w:type="dxa" w:w="2880"/>
          </w:tcPr>
          <w:p>
            <w:pPr>
              <w:jc w:val="left"/>
            </w:pPr>
            <w:r>
              <w:rPr>
                <w:rFonts w:ascii="Times New Roman" w:hAnsi="Times New Roman"/>
                <w:sz w:val="20"/>
              </w:rPr>
              <w:t>ReportsService</w:t>
            </w:r>
          </w:p>
        </w:tc>
        <w:tc>
          <w:tcPr>
            <w:tcW w:type="dxa" w:w="3600"/>
          </w:tcPr>
          <w:p>
            <w:pPr>
              <w:jc w:val="left"/>
            </w:pPr>
            <w:r>
              <w:rPr>
                <w:rFonts w:ascii="Times New Roman" w:hAnsi="Times New Roman"/>
                <w:sz w:val="20"/>
              </w:rPr>
              <w:t>Aggregation of operation coverage, status-code distributions, error clustering, and report compilation into PDF and CSV formats.</w:t>
            </w:r>
          </w:p>
        </w:tc>
      </w:tr>
      <w:tr>
        <w:tc>
          <w:tcPr>
            <w:tcW w:type="dxa" w:w="2160"/>
          </w:tcPr>
          <w:p>
            <w:pPr>
              <w:jc w:val="left"/>
            </w:pPr>
            <w:r>
              <w:rPr>
                <w:rFonts w:ascii="Times New Roman" w:hAnsi="Times New Roman"/>
                <w:sz w:val="20"/>
              </w:rPr>
              <w:t>AI Failure Root-Cause Analysis</w:t>
            </w:r>
          </w:p>
        </w:tc>
        <w:tc>
          <w:tcPr>
            <w:tcW w:type="dxa" w:w="2880"/>
          </w:tcPr>
          <w:p>
            <w:pPr>
              <w:jc w:val="left"/>
            </w:pPr>
            <w:r>
              <w:rPr>
                <w:rFonts w:ascii="Times New Roman" w:hAnsi="Times New Roman"/>
                <w:sz w:val="20"/>
              </w:rPr>
              <w:t>LlmService (reports module)</w:t>
            </w:r>
          </w:p>
        </w:tc>
        <w:tc>
          <w:tcPr>
            <w:tcW w:type="dxa" w:w="3600"/>
          </w:tcPr>
          <w:p>
            <w:pPr>
              <w:jc w:val="left"/>
            </w:pPr>
            <w:r>
              <w:rPr>
                <w:rFonts w:ascii="Times New Roman" w:hAnsi="Times New Roman"/>
                <w:sz w:val="20"/>
              </w:rPr>
              <w:t>Context-aware LLM evaluation of failed HTTP transactions (request/response context) to explain failure causes in plain language.</w:t>
            </w:r>
          </w:p>
        </w:tc>
      </w:tr>
      <w:tr>
        <w:tc>
          <w:tcPr>
            <w:tcW w:type="dxa" w:w="2160"/>
          </w:tcPr>
          <w:p>
            <w:pPr>
              <w:jc w:val="left"/>
            </w:pPr>
            <w:r>
              <w:rPr>
                <w:rFonts w:ascii="Times New Roman" w:hAnsi="Times New Roman"/>
                <w:sz w:val="20"/>
              </w:rPr>
              <w:t>Multi-Scope LLM Configuration</w:t>
            </w:r>
          </w:p>
        </w:tc>
        <w:tc>
          <w:tcPr>
            <w:tcW w:type="dxa" w:w="2880"/>
          </w:tcPr>
          <w:p>
            <w:pPr>
              <w:jc w:val="left"/>
            </w:pPr>
            <w:r>
              <w:rPr>
                <w:rFonts w:ascii="Times New Roman" w:hAnsi="Times New Roman"/>
                <w:sz w:val="20"/>
              </w:rPr>
              <w:t>LlmSettings model + LlmSettingsService</w:t>
            </w:r>
          </w:p>
        </w:tc>
        <w:tc>
          <w:tcPr>
            <w:tcW w:type="dxa" w:w="3600"/>
          </w:tcPr>
          <w:p>
            <w:pPr>
              <w:jc w:val="left"/>
            </w:pPr>
            <w:r>
              <w:rPr>
                <w:rFonts w:ascii="Times New Roman" w:hAnsi="Times New Roman"/>
                <w:sz w:val="20"/>
              </w:rPr>
              <w:t>Dynamic administrative management and runtime hot-reloading of LLM provider keys and models across 3 independent scopes.</w:t>
            </w:r>
          </w:p>
        </w:tc>
      </w:tr>
    </w:tbl>
    <w:p>
      <w:pPr>
        <w:spacing w:line="276" w:lineRule="auto" w:after="160"/>
        <w:jc w:val="left"/>
      </w:pPr>
      <w:r>
        <w:rPr>
          <w:rFonts w:ascii="Times New Roman" w:hAnsi="Times New Roman"/>
          <w:b w:val="0"/>
          <w:i w:val="0"/>
          <w:sz w:val="24"/>
        </w:rPr>
      </w:r>
    </w:p>
    <w:p>
      <w:pPr>
        <w:pStyle w:val="Heading2"/>
        <w:spacing w:after="120" w:before="240"/>
      </w:pPr>
      <w:r>
        <w:rPr>
          <w:rFonts w:ascii="Times New Roman" w:hAnsi="Times New Roman"/>
          <w:b/>
          <w:color w:val="1F3964"/>
          <w:sz w:val="28"/>
        </w:rPr>
        <w:t>5.2 Persistent Data Sources</w:t>
      </w:r>
    </w:p>
    <w:p>
      <w:pPr>
        <w:spacing w:line="276" w:lineRule="auto" w:after="160"/>
        <w:jc w:val="left"/>
      </w:pPr>
      <w:r>
        <w:rPr>
          <w:rFonts w:ascii="Times New Roman" w:hAnsi="Times New Roman"/>
          <w:b w:val="0"/>
          <w:i w:val="0"/>
          <w:sz w:val="24"/>
        </w:rPr>
        <w:t>AutoRestTest utilizes distinct persistent data sources to store structured relational data, code archives, embeddings caches, and raw execution logs. The table below outlines these data sources:</w:t>
      </w:r>
    </w:p>
    <w:p>
      <w:pPr>
        <w:spacing w:line="276" w:lineRule="auto" w:after="160"/>
        <w:jc w:val="left"/>
      </w:pPr>
      <w:r>
        <w:rPr>
          <w:rFonts w:ascii="Times New Roman" w:hAnsi="Times New Roman"/>
          <w:b w:val="0"/>
          <w:i/>
          <w:sz w:val="24"/>
        </w:rPr>
        <w:t>Table 5.2: Persistent Data Sources</w:t>
      </w:r>
    </w:p>
    <w:tbl>
      <w:tblPr>
        <w:tblStyle w:val="TableGrid"/>
        <w:tblW w:type="auto" w:w="0"/>
        <w:jc w:val="center"/>
        <w:tblLayout w:type="fixed"/>
        <w:tblLook w:firstColumn="1" w:firstRow="1" w:lastColumn="0" w:lastRow="0" w:noHBand="0" w:noVBand="1" w:val="04A0"/>
      </w:tblPr>
      <w:tblGrid>
        <w:gridCol w:w="2592"/>
        <w:gridCol w:w="2016"/>
        <w:gridCol w:w="4032"/>
      </w:tblGrid>
      <w:tr>
        <w:tc>
          <w:tcPr>
            <w:tcW w:type="dxa" w:w="2592"/>
            <w:shd w:fill="F2F2F2"/>
          </w:tcPr>
          <w:p>
            <w:pPr>
              <w:jc w:val="left"/>
            </w:pPr>
            <w:r>
              <w:rPr>
                <w:rFonts w:ascii="Times New Roman" w:hAnsi="Times New Roman"/>
                <w:b/>
                <w:sz w:val="21"/>
              </w:rPr>
              <w:t>Data Source</w:t>
            </w:r>
          </w:p>
        </w:tc>
        <w:tc>
          <w:tcPr>
            <w:tcW w:type="dxa" w:w="2016"/>
            <w:shd w:fill="F2F2F2"/>
          </w:tcPr>
          <w:p>
            <w:pPr>
              <w:jc w:val="left"/>
            </w:pPr>
            <w:r>
              <w:rPr>
                <w:rFonts w:ascii="Times New Roman" w:hAnsi="Times New Roman"/>
                <w:b/>
                <w:sz w:val="21"/>
              </w:rPr>
              <w:t>Type</w:t>
            </w:r>
          </w:p>
        </w:tc>
        <w:tc>
          <w:tcPr>
            <w:tcW w:type="dxa" w:w="4032"/>
            <w:shd w:fill="F2F2F2"/>
          </w:tcPr>
          <w:p>
            <w:pPr>
              <w:jc w:val="left"/>
            </w:pPr>
            <w:r>
              <w:rPr>
                <w:rFonts w:ascii="Times New Roman" w:hAnsi="Times New Roman"/>
                <w:b/>
                <w:sz w:val="21"/>
              </w:rPr>
              <w:t>Description</w:t>
            </w:r>
          </w:p>
        </w:tc>
      </w:tr>
      <w:tr>
        <w:tc>
          <w:tcPr>
            <w:tcW w:type="dxa" w:w="2592"/>
          </w:tcPr>
          <w:p>
            <w:pPr>
              <w:jc w:val="left"/>
            </w:pPr>
            <w:r>
              <w:rPr>
                <w:rFonts w:ascii="Times New Roman" w:hAnsi="Times New Roman"/>
                <w:sz w:val="20"/>
              </w:rPr>
              <w:t>PostgreSQL</w:t>
            </w:r>
          </w:p>
        </w:tc>
        <w:tc>
          <w:tcPr>
            <w:tcW w:type="dxa" w:w="2016"/>
          </w:tcPr>
          <w:p>
            <w:pPr>
              <w:jc w:val="left"/>
            </w:pPr>
            <w:r>
              <w:rPr>
                <w:rFonts w:ascii="Times New Roman" w:hAnsi="Times New Roman"/>
                <w:sz w:val="20"/>
              </w:rPr>
              <w:t>Relational DB</w:t>
            </w:r>
          </w:p>
        </w:tc>
        <w:tc>
          <w:tcPr>
            <w:tcW w:type="dxa" w:w="4032"/>
          </w:tcPr>
          <w:p>
            <w:pPr>
              <w:jc w:val="left"/>
            </w:pPr>
            <w:r>
              <w:rPr>
                <w:rFonts w:ascii="Times New Roman" w:hAnsi="Times New Roman"/>
                <w:sz w:val="20"/>
              </w:rPr>
              <w:t>Primary data store that holds users, projects, specifications, endpoints, test suites, and captured request logs (14 models across Prisma ORM).</w:t>
            </w:r>
          </w:p>
        </w:tc>
      </w:tr>
      <w:tr>
        <w:tc>
          <w:tcPr>
            <w:tcW w:type="dxa" w:w="2592"/>
          </w:tcPr>
          <w:p>
            <w:pPr>
              <w:jc w:val="left"/>
            </w:pPr>
            <w:r>
              <w:rPr>
                <w:rFonts w:ascii="Times New Roman" w:hAnsi="Times New Roman"/>
                <w:sz w:val="20"/>
              </w:rPr>
              <w:t>Specification &amp; Code Store</w:t>
            </w:r>
          </w:p>
        </w:tc>
        <w:tc>
          <w:tcPr>
            <w:tcW w:type="dxa" w:w="2016"/>
          </w:tcPr>
          <w:p>
            <w:pPr>
              <w:jc w:val="left"/>
            </w:pPr>
            <w:r>
              <w:rPr>
                <w:rFonts w:ascii="Times New Roman" w:hAnsi="Times New Roman"/>
                <w:sz w:val="20"/>
              </w:rPr>
              <w:t>File System</w:t>
            </w:r>
          </w:p>
        </w:tc>
        <w:tc>
          <w:tcPr>
            <w:tcW w:type="dxa" w:w="4032"/>
          </w:tcPr>
          <w:p>
            <w:pPr>
              <w:jc w:val="left"/>
            </w:pPr>
            <w:r>
              <w:rPr>
                <w:rFonts w:ascii="Times New Roman" w:hAnsi="Times New Roman"/>
                <w:sz w:val="20"/>
              </w:rPr>
              <w:t>Staging area in uploads/ for incoming OpenAPI schemas (.yaml, .json) and codebase zip archives staged for AI specification generation.</w:t>
            </w:r>
          </w:p>
        </w:tc>
      </w:tr>
      <w:tr>
        <w:tc>
          <w:tcPr>
            <w:tcW w:type="dxa" w:w="2592"/>
          </w:tcPr>
          <w:p>
            <w:pPr>
              <w:jc w:val="left"/>
            </w:pPr>
            <w:r>
              <w:rPr>
                <w:rFonts w:ascii="Times New Roman" w:hAnsi="Times New Roman"/>
                <w:sz w:val="20"/>
              </w:rPr>
              <w:t>Semantic Graph &amp; Q-Table Cache</w:t>
            </w:r>
          </w:p>
        </w:tc>
        <w:tc>
          <w:tcPr>
            <w:tcW w:type="dxa" w:w="2016"/>
          </w:tcPr>
          <w:p>
            <w:pPr>
              <w:jc w:val="left"/>
            </w:pPr>
            <w:r>
              <w:rPr>
                <w:rFonts w:ascii="Times New Roman" w:hAnsi="Times New Roman"/>
                <w:sz w:val="20"/>
              </w:rPr>
              <w:t>Binary Files (shelve)</w:t>
            </w:r>
          </w:p>
        </w:tc>
        <w:tc>
          <w:tcPr>
            <w:tcW w:type="dxa" w:w="4032"/>
          </w:tcPr>
          <w:p>
            <w:pPr>
              <w:jc w:val="left"/>
            </w:pPr>
            <w:r>
              <w:rPr>
                <w:rFonts w:ascii="Times New Roman" w:hAnsi="Times New Roman"/>
                <w:sz w:val="20"/>
              </w:rPr>
              <w:t>cache/graphs/ and cache/q_tables/ – Content-addressed disk cache storing NLP embeddings, graph edges, and Q-tables keyed by spec_&lt;sha256&gt;.</w:t>
            </w:r>
          </w:p>
        </w:tc>
      </w:tr>
      <w:tr>
        <w:tc>
          <w:tcPr>
            <w:tcW w:type="dxa" w:w="2592"/>
          </w:tcPr>
          <w:p>
            <w:pPr>
              <w:jc w:val="left"/>
            </w:pPr>
            <w:r>
              <w:rPr>
                <w:rFonts w:ascii="Times New Roman" w:hAnsi="Times New Roman"/>
                <w:sz w:val="20"/>
              </w:rPr>
              <w:t>Engine Process Logs</w:t>
            </w:r>
          </w:p>
        </w:tc>
        <w:tc>
          <w:tcPr>
            <w:tcW w:type="dxa" w:w="2016"/>
          </w:tcPr>
          <w:p>
            <w:pPr>
              <w:jc w:val="left"/>
            </w:pPr>
            <w:r>
              <w:rPr>
                <w:rFonts w:ascii="Times New Roman" w:hAnsi="Times New Roman"/>
                <w:sz w:val="20"/>
              </w:rPr>
              <w:t>Log Files</w:t>
            </w:r>
          </w:p>
        </w:tc>
        <w:tc>
          <w:tcPr>
            <w:tcW w:type="dxa" w:w="4032"/>
          </w:tcPr>
          <w:p>
            <w:pPr>
              <w:jc w:val="left"/>
            </w:pPr>
            <w:r>
              <w:rPr>
                <w:rFonts w:ascii="Times New Roman" w:hAnsi="Times New Roman"/>
                <w:sz w:val="20"/>
              </w:rPr>
              <w:t>jobs/&lt;id&gt;/stdout.log – Live stdout/stderr execution and error logs for active MARL testing runs.</w:t>
            </w:r>
          </w:p>
        </w:tc>
      </w:tr>
      <w:tr>
        <w:tc>
          <w:tcPr>
            <w:tcW w:type="dxa" w:w="2592"/>
          </w:tcPr>
          <w:p>
            <w:pPr>
              <w:jc w:val="left"/>
            </w:pPr>
            <w:r>
              <w:rPr>
                <w:rFonts w:ascii="Times New Roman" w:hAnsi="Times New Roman"/>
                <w:sz w:val="20"/>
              </w:rPr>
              <w:t>Raw Engine Artifacts</w:t>
            </w:r>
          </w:p>
        </w:tc>
        <w:tc>
          <w:tcPr>
            <w:tcW w:type="dxa" w:w="2016"/>
          </w:tcPr>
          <w:p>
            <w:pPr>
              <w:jc w:val="left"/>
            </w:pPr>
            <w:r>
              <w:rPr>
                <w:rFonts w:ascii="Times New Roman" w:hAnsi="Times New Roman"/>
                <w:sz w:val="20"/>
              </w:rPr>
              <w:t>JSON Files</w:t>
            </w:r>
          </w:p>
        </w:tc>
        <w:tc>
          <w:tcPr>
            <w:tcW w:type="dxa" w:w="4032"/>
          </w:tcPr>
          <w:p>
            <w:pPr>
              <w:jc w:val="left"/>
            </w:pPr>
            <w:r>
              <w:rPr>
                <w:rFonts w:ascii="Times New Roman" w:hAnsi="Times New Roman"/>
                <w:sz w:val="20"/>
              </w:rPr>
              <w:t>data/&lt;spec_name&gt;/ – Detailed engine outputs including report.json, server_errors.json, and operation_status_codes.json.</w:t>
            </w:r>
          </w:p>
        </w:tc>
      </w:tr>
    </w:tbl>
    <w:p>
      <w:pPr>
        <w:spacing w:line="276" w:lineRule="auto" w:after="160"/>
        <w:jc w:val="left"/>
      </w:pPr>
      <w:r>
        <w:rPr>
          <w:rFonts w:ascii="Times New Roman" w:hAnsi="Times New Roman"/>
          <w:b w:val="0"/>
          <w:i w:val="0"/>
          <w:sz w:val="24"/>
        </w:rPr>
      </w:r>
    </w:p>
    <w:p>
      <w:pPr>
        <w:pStyle w:val="Heading2"/>
        <w:spacing w:after="120" w:before="240"/>
      </w:pPr>
      <w:r>
        <w:rPr>
          <w:rFonts w:ascii="Times New Roman" w:hAnsi="Times New Roman"/>
          <w:b/>
          <w:color w:val="1F3964"/>
          <w:sz w:val="28"/>
        </w:rPr>
        <w:t>5.3 Behavioral Representation of Core Components</w:t>
      </w:r>
    </w:p>
    <w:p>
      <w:pPr>
        <w:spacing w:line="276" w:lineRule="auto" w:after="160"/>
        <w:jc w:val="left"/>
      </w:pPr>
      <w:r>
        <w:rPr>
          <w:rFonts w:ascii="Times New Roman" w:hAnsi="Times New Roman"/>
          <w:b w:val="0"/>
          <w:i w:val="0"/>
          <w:sz w:val="24"/>
        </w:rPr>
        <w:t>The dynamic behavioral logic of the AutoRestTest platform is centralized around two primary workflows: the generation of OpenAPI specifications from source code, and the end-to-end execution lifecycle of an AI-driven test suite. The following diagrams illustrate the step-by-step state transitions and processes within these core components.</w:t>
      </w:r>
    </w:p>
    <w:p>
      <w:pPr>
        <w:pStyle w:val="Heading3"/>
        <w:spacing w:after="120" w:before="240"/>
      </w:pPr>
      <w:r>
        <w:rPr>
          <w:rFonts w:ascii="Times New Roman" w:hAnsi="Times New Roman"/>
          <w:b/>
          <w:color w:val="1F3964"/>
          <w:sz w:val="26"/>
        </w:rPr>
        <w:t>5.3.1 AI-Driven Testing Workflow</w:t>
      </w:r>
    </w:p>
    <w:p>
      <w:pPr>
        <w:spacing w:line="276" w:lineRule="auto" w:after="160"/>
        <w:jc w:val="left"/>
      </w:pPr>
      <w:r>
        <w:rPr>
          <w:rFonts w:ascii="Times New Roman" w:hAnsi="Times New Roman"/>
          <w:b w:val="0"/>
          <w:i w:val="0"/>
          <w:sz w:val="24"/>
        </w:rPr>
        <w:t>The automated testing engine operates through a continuous Multi-Agent Reinforcement Learning (MARL) loop. The following activity diagram outlines the execution lifecycle, from the initialization of a new test suite to the compilation of the final report.</w:t>
      </w:r>
    </w:p>
    <w:p>
      <w:pPr>
        <w:spacing w:line="276" w:lineRule="auto" w:after="160"/>
        <w:jc w:val="center"/>
      </w:pPr>
      <w:r>
        <w:rPr>
          <w:rFonts w:ascii="Times New Roman" w:hAnsi="Times New Roman"/>
          <w:b w:val="0"/>
          <w:i/>
          <w:sz w:val="24"/>
        </w:rPr>
        <w:t>Figure 5.2: Complete Testing Workflow Activity Diagram</w:t>
      </w:r>
    </w:p>
    <w:p>
      <w:pPr>
        <w:jc w:val="center"/>
      </w:pPr>
      <w:r>
        <w:drawing>
          <wp:inline xmlns:a="http://schemas.openxmlformats.org/drawingml/2006/main" xmlns:pic="http://schemas.openxmlformats.org/drawingml/2006/picture">
            <wp:extent cx="5486400" cy="18889110"/>
            <wp:docPr id="1" name="Picture 1"/>
            <wp:cNvGraphicFramePr>
              <a:graphicFrameLocks noChangeAspect="1"/>
            </wp:cNvGraphicFramePr>
            <a:graphic>
              <a:graphicData uri="http://schemas.openxmlformats.org/drawingml/2006/picture">
                <pic:pic>
                  <pic:nvPicPr>
                    <pic:cNvPr id="0" name="testing_workflow.png"/>
                    <pic:cNvPicPr/>
                  </pic:nvPicPr>
                  <pic:blipFill>
                    <a:blip r:embed="rId9"/>
                    <a:stretch>
                      <a:fillRect/>
                    </a:stretch>
                  </pic:blipFill>
                  <pic:spPr>
                    <a:xfrm>
                      <a:off x="0" y="0"/>
                      <a:ext cx="5486400" cy="18889110"/>
                    </a:xfrm>
                    <a:prstGeom prst="rect"/>
                  </pic:spPr>
                </pic:pic>
              </a:graphicData>
            </a:graphic>
          </wp:inline>
        </w:drawing>
      </w:r>
    </w:p>
    <w:p>
      <w:pPr>
        <w:pStyle w:val="Heading3"/>
        <w:spacing w:after="120" w:before="240"/>
      </w:pPr>
      <w:r>
        <w:rPr>
          <w:rFonts w:ascii="Times New Roman" w:hAnsi="Times New Roman"/>
          <w:b/>
          <w:color w:val="1F3964"/>
          <w:sz w:val="26"/>
        </w:rPr>
        <w:t>5.3.2 OpenAPI Specification Generation Workflow</w:t>
      </w:r>
    </w:p>
    <w:p>
      <w:pPr>
        <w:spacing w:line="276" w:lineRule="auto" w:after="160"/>
        <w:jc w:val="left"/>
      </w:pPr>
      <w:r>
        <w:rPr>
          <w:rFonts w:ascii="Times New Roman" w:hAnsi="Times New Roman"/>
          <w:b w:val="0"/>
          <w:i w:val="0"/>
          <w:sz w:val="24"/>
        </w:rPr>
        <w:t>A critical feature of AutoRestTest is the ability to autonomously generate standardized OpenAPI 3.0 specifications from uploaded project source code. The workflow below demonstrates how the OOPS LLM Engine extracts route, controller, and schema information to build the specification.</w:t>
      </w:r>
    </w:p>
    <w:p>
      <w:pPr>
        <w:spacing w:line="276" w:lineRule="auto" w:after="160"/>
        <w:jc w:val="center"/>
      </w:pPr>
      <w:r>
        <w:rPr>
          <w:rFonts w:ascii="Times New Roman" w:hAnsi="Times New Roman"/>
          <w:b w:val="0"/>
          <w:i/>
          <w:sz w:val="24"/>
        </w:rPr>
        <w:t>Figure 5.3: OpenAPI Specification Generation Workflow</w:t>
      </w:r>
    </w:p>
    <w:p>
      <w:pPr>
        <w:jc w:val="center"/>
      </w:pPr>
      <w:r>
        <w:drawing>
          <wp:inline xmlns:a="http://schemas.openxmlformats.org/drawingml/2006/main" xmlns:pic="http://schemas.openxmlformats.org/drawingml/2006/picture">
            <wp:extent cx="5486400" cy="23456348"/>
            <wp:docPr id="2" name="Picture 2"/>
            <wp:cNvGraphicFramePr>
              <a:graphicFrameLocks noChangeAspect="1"/>
            </wp:cNvGraphicFramePr>
            <a:graphic>
              <a:graphicData uri="http://schemas.openxmlformats.org/drawingml/2006/picture">
                <pic:pic>
                  <pic:nvPicPr>
                    <pic:cNvPr id="0" name="oas_generation.png"/>
                    <pic:cNvPicPr/>
                  </pic:nvPicPr>
                  <pic:blipFill>
                    <a:blip r:embed="rId10"/>
                    <a:stretch>
                      <a:fillRect/>
                    </a:stretch>
                  </pic:blipFill>
                  <pic:spPr>
                    <a:xfrm>
                      <a:off x="0" y="0"/>
                      <a:ext cx="5486400" cy="23456348"/>
                    </a:xfrm>
                    <a:prstGeom prst="rect"/>
                  </pic:spPr>
                </pic:pic>
              </a:graphicData>
            </a:graphic>
          </wp:inline>
        </w:drawing>
      </w:r>
    </w:p>
    <w:p>
      <w:pPr>
        <w:spacing w:line="276" w:lineRule="auto" w:after="160"/>
        <w:jc w:val="left"/>
      </w:pPr>
      <w:r>
        <w:rPr>
          <w:rFonts w:ascii="Times New Roman" w:hAnsi="Times New Roman"/>
          <w:b w:val="0"/>
          <w:i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