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spacing w:after="120"/>
      </w:pPr>
      <w:r>
        <w:rPr>
          <w:rFonts w:ascii="Times New Roman" w:hAnsi="Times New Roman"/>
          <w:b/>
          <w:color w:val="1F3964"/>
          <w:sz w:val="28"/>
        </w:rPr>
        <w:t>3.2 Interface Design</w:t>
      </w:r>
    </w:p>
    <w:p>
      <w:pPr>
        <w:pStyle w:val="Heading3"/>
        <w:spacing w:after="120"/>
      </w:pPr>
      <w:r>
        <w:rPr>
          <w:rFonts w:ascii="Times New Roman" w:hAnsi="Times New Roman"/>
          <w:b/>
          <w:color w:val="1F3964"/>
          <w:sz w:val="26"/>
        </w:rPr>
        <w:t>3.2.1 User Interface Architecture</w:t>
      </w:r>
    </w:p>
    <w:p>
      <w:pPr>
        <w:spacing w:line="276" w:lineRule="auto" w:after="160"/>
      </w:pPr>
      <w:r>
        <w:rPr>
          <w:rFonts w:ascii="Times New Roman" w:hAnsi="Times New Roman"/>
          <w:b w:val="0"/>
          <w:sz w:val="24"/>
        </w:rPr>
        <w:t>The frontend uses a component-based architecture built with React and Next.js, leveraging React Query (TanStack Query) for asynchronous data fetching and global state management. The UI is broken down into specific modular components tailored to test orchestration, dependency visualization, and API management. Below are the key UI objects and their hierarchical relationships:</w:t>
      </w:r>
    </w:p>
    <w:p>
      <w:pPr>
        <w:spacing w:line="276" w:lineRule="auto" w:after="160"/>
      </w:pPr>
      <w:r>
        <w:rPr>
          <w:rFonts w:ascii="Times New Roman" w:hAnsi="Times New Roman"/>
          <w:b w:val="0"/>
          <w:i/>
          <w:sz w:val="24"/>
        </w:rPr>
        <w:t>Table 3.1: UI Objects and Actions</w:t>
      </w:r>
    </w:p>
    <w:tbl>
      <w:tblPr>
        <w:tblStyle w:val="TableGrid"/>
        <w:tblW w:type="auto" w:w="0"/>
        <w:jc w:val="center"/>
        <w:tblLayout w:type="fixed"/>
        <w:tblLook w:firstColumn="1" w:firstRow="1" w:lastColumn="0" w:lastRow="0" w:noHBand="0" w:noVBand="1" w:val="04A0"/>
      </w:tblPr>
      <w:tblGrid>
        <w:gridCol w:w="2592"/>
        <w:gridCol w:w="2160"/>
        <w:gridCol w:w="3888"/>
      </w:tblGrid>
      <w:tr>
        <w:tc>
          <w:tcPr>
            <w:tcW w:type="dxa" w:w="2592"/>
          </w:tcPr>
          <w:p>
            <w:r>
              <w:rPr>
                <w:rFonts w:ascii="Times New Roman" w:hAnsi="Times New Roman"/>
                <w:b/>
                <w:sz w:val="22"/>
              </w:rPr>
              <w:t>UI Object</w:t>
            </w:r>
          </w:p>
        </w:tc>
        <w:tc>
          <w:tcPr>
            <w:tcW w:type="dxa" w:w="2160"/>
          </w:tcPr>
          <w:p>
            <w:r>
              <w:rPr>
                <w:rFonts w:ascii="Times New Roman" w:hAnsi="Times New Roman"/>
                <w:b/>
                <w:sz w:val="22"/>
              </w:rPr>
              <w:t>Type</w:t>
            </w:r>
          </w:p>
        </w:tc>
        <w:tc>
          <w:tcPr>
            <w:tcW w:type="dxa" w:w="3888"/>
          </w:tcPr>
          <w:p>
            <w:r>
              <w:rPr>
                <w:rFonts w:ascii="Times New Roman" w:hAnsi="Times New Roman"/>
                <w:b/>
                <w:sz w:val="22"/>
              </w:rPr>
              <w:t>Actions (Operations)</w:t>
            </w:r>
          </w:p>
        </w:tc>
      </w:tr>
      <w:tr>
        <w:tc>
          <w:tcPr>
            <w:tcW w:type="dxa" w:w="2592"/>
          </w:tcPr>
          <w:p>
            <w:r>
              <w:rPr>
                <w:rFonts w:ascii="Times New Roman" w:hAnsi="Times New Roman"/>
                <w:sz w:val="20"/>
              </w:rPr>
              <w:t>AuthForms</w:t>
            </w:r>
          </w:p>
        </w:tc>
        <w:tc>
          <w:tcPr>
            <w:tcW w:type="dxa" w:w="2160"/>
          </w:tcPr>
          <w:p>
            <w:r>
              <w:rPr>
                <w:rFonts w:ascii="Times New Roman" w:hAnsi="Times New Roman"/>
                <w:sz w:val="20"/>
              </w:rPr>
              <w:t>Form Group</w:t>
            </w:r>
          </w:p>
        </w:tc>
        <w:tc>
          <w:tcPr>
            <w:tcW w:type="dxa" w:w="3888"/>
          </w:tcPr>
          <w:p>
            <w:r>
              <w:rPr>
                <w:rFonts w:ascii="Times New Roman" w:hAnsi="Times New Roman"/>
                <w:sz w:val="20"/>
              </w:rPr>
              <w:t>Submit login/register, verify OTP, recover password</w:t>
            </w:r>
          </w:p>
        </w:tc>
      </w:tr>
      <w:tr>
        <w:tc>
          <w:tcPr>
            <w:tcW w:type="dxa" w:w="2592"/>
          </w:tcPr>
          <w:p>
            <w:r>
              <w:rPr>
                <w:rFonts w:ascii="Times New Roman" w:hAnsi="Times New Roman"/>
                <w:sz w:val="20"/>
              </w:rPr>
              <w:t>ProjectCard / ProjectFormModal</w:t>
            </w:r>
          </w:p>
        </w:tc>
        <w:tc>
          <w:tcPr>
            <w:tcW w:type="dxa" w:w="2160"/>
          </w:tcPr>
          <w:p>
            <w:r>
              <w:rPr>
                <w:rFonts w:ascii="Times New Roman" w:hAnsi="Times New Roman"/>
                <w:sz w:val="20"/>
              </w:rPr>
              <w:t>Dashboard &amp; Modal</w:t>
            </w:r>
          </w:p>
        </w:tc>
        <w:tc>
          <w:tcPr>
            <w:tcW w:type="dxa" w:w="3888"/>
          </w:tcPr>
          <w:p>
            <w:r>
              <w:rPr>
                <w:rFonts w:ascii="Times New Roman" w:hAnsi="Times New Roman"/>
                <w:sz w:val="20"/>
              </w:rPr>
              <w:t>View available projects, create new workspace, delete project</w:t>
            </w:r>
          </w:p>
        </w:tc>
      </w:tr>
      <w:tr>
        <w:tc>
          <w:tcPr>
            <w:tcW w:type="dxa" w:w="2592"/>
          </w:tcPr>
          <w:p>
            <w:r>
              <w:rPr>
                <w:rFonts w:ascii="Times New Roman" w:hAnsi="Times New Roman"/>
                <w:sz w:val="20"/>
              </w:rPr>
              <w:t>GenerateSpecPanel</w:t>
            </w:r>
          </w:p>
        </w:tc>
        <w:tc>
          <w:tcPr>
            <w:tcW w:type="dxa" w:w="2160"/>
          </w:tcPr>
          <w:p>
            <w:r>
              <w:rPr>
                <w:rFonts w:ascii="Times New Roman" w:hAnsi="Times New Roman"/>
                <w:sz w:val="20"/>
              </w:rPr>
              <w:t>File Upload / Poller</w:t>
            </w:r>
          </w:p>
        </w:tc>
        <w:tc>
          <w:tcPr>
            <w:tcW w:type="dxa" w:w="3888"/>
          </w:tcPr>
          <w:p>
            <w:r>
              <w:rPr>
                <w:rFonts w:ascii="Times New Roman" w:hAnsi="Times New Roman"/>
                <w:sz w:val="20"/>
              </w:rPr>
              <w:t>Upload source code zip, monitor AI generation progress</w:t>
            </w:r>
          </w:p>
        </w:tc>
      </w:tr>
      <w:tr>
        <w:tc>
          <w:tcPr>
            <w:tcW w:type="dxa" w:w="2592"/>
          </w:tcPr>
          <w:p>
            <w:r>
              <w:rPr>
                <w:rFonts w:ascii="Times New Roman" w:hAnsi="Times New Roman"/>
                <w:sz w:val="20"/>
              </w:rPr>
              <w:t>EndpointDetailPanel</w:t>
            </w:r>
          </w:p>
        </w:tc>
        <w:tc>
          <w:tcPr>
            <w:tcW w:type="dxa" w:w="2160"/>
          </w:tcPr>
          <w:p>
            <w:r>
              <w:rPr>
                <w:rFonts w:ascii="Times New Roman" w:hAnsi="Times New Roman"/>
                <w:sz w:val="20"/>
              </w:rPr>
              <w:t>Sidebar / Drawer</w:t>
            </w:r>
          </w:p>
        </w:tc>
        <w:tc>
          <w:tcPr>
            <w:tcW w:type="dxa" w:w="3888"/>
          </w:tcPr>
          <w:p>
            <w:r>
              <w:rPr>
                <w:rFonts w:ascii="Times New Roman" w:hAnsi="Times New Roman"/>
                <w:sz w:val="20"/>
              </w:rPr>
              <w:t>View HTTP method, query/body params, and response schemas</w:t>
            </w:r>
          </w:p>
        </w:tc>
      </w:tr>
      <w:tr>
        <w:tc>
          <w:tcPr>
            <w:tcW w:type="dxa" w:w="2592"/>
          </w:tcPr>
          <w:p>
            <w:r>
              <w:rPr>
                <w:rFonts w:ascii="Times New Roman" w:hAnsi="Times New Roman"/>
                <w:sz w:val="20"/>
              </w:rPr>
              <w:t>DependencyGraphView</w:t>
            </w:r>
          </w:p>
        </w:tc>
        <w:tc>
          <w:tcPr>
            <w:tcW w:type="dxa" w:w="2160"/>
          </w:tcPr>
          <w:p>
            <w:r>
              <w:rPr>
                <w:rFonts w:ascii="Times New Roman" w:hAnsi="Times New Roman"/>
                <w:sz w:val="20"/>
              </w:rPr>
              <w:t>Interactive Canvas</w:t>
            </w:r>
          </w:p>
        </w:tc>
        <w:tc>
          <w:tcPr>
            <w:tcW w:type="dxa" w:w="3888"/>
          </w:tcPr>
          <w:p>
            <w:r>
              <w:rPr>
                <w:rFonts w:ascii="Times New Roman" w:hAnsi="Times New Roman"/>
                <w:sz w:val="20"/>
              </w:rPr>
              <w:t>Render endpoint map, zoom/pan, toggle layout</w:t>
            </w:r>
          </w:p>
        </w:tc>
      </w:tr>
      <w:tr>
        <w:tc>
          <w:tcPr>
            <w:tcW w:type="dxa" w:w="2592"/>
          </w:tcPr>
          <w:p>
            <w:r>
              <w:rPr>
                <w:rFonts w:ascii="Times New Roman" w:hAnsi="Times New Roman"/>
                <w:sz w:val="20"/>
              </w:rPr>
              <w:t>FocusView</w:t>
            </w:r>
          </w:p>
        </w:tc>
        <w:tc>
          <w:tcPr>
            <w:tcW w:type="dxa" w:w="2160"/>
          </w:tcPr>
          <w:p>
            <w:r>
              <w:rPr>
                <w:rFonts w:ascii="Times New Roman" w:hAnsi="Times New Roman"/>
                <w:sz w:val="20"/>
              </w:rPr>
              <w:t>Canvas Extension</w:t>
            </w:r>
          </w:p>
        </w:tc>
        <w:tc>
          <w:tcPr>
            <w:tcW w:type="dxa" w:w="3888"/>
          </w:tcPr>
          <w:p>
            <w:r>
              <w:rPr>
                <w:rFonts w:ascii="Times New Roman" w:hAnsi="Times New Roman"/>
                <w:sz w:val="20"/>
              </w:rPr>
              <w:t>Switch to 3-column view isolating parents, active node, and children</w:t>
            </w:r>
          </w:p>
        </w:tc>
      </w:tr>
      <w:tr>
        <w:tc>
          <w:tcPr>
            <w:tcW w:type="dxa" w:w="2592"/>
          </w:tcPr>
          <w:p>
            <w:r>
              <w:rPr>
                <w:rFonts w:ascii="Times New Roman" w:hAnsi="Times New Roman"/>
                <w:sz w:val="20"/>
              </w:rPr>
              <w:t>CreateRunModal / RunTimeline</w:t>
            </w:r>
          </w:p>
        </w:tc>
        <w:tc>
          <w:tcPr>
            <w:tcW w:type="dxa" w:w="2160"/>
          </w:tcPr>
          <w:p>
            <w:r>
              <w:rPr>
                <w:rFonts w:ascii="Times New Roman" w:hAnsi="Times New Roman"/>
                <w:sz w:val="20"/>
              </w:rPr>
              <w:t>Test Controls</w:t>
            </w:r>
          </w:p>
        </w:tc>
        <w:tc>
          <w:tcPr>
            <w:tcW w:type="dxa" w:w="3888"/>
          </w:tcPr>
          <w:p>
            <w:r>
              <w:rPr>
                <w:rFonts w:ascii="Times New Roman" w:hAnsi="Times New Roman"/>
                <w:sz w:val="20"/>
              </w:rPr>
              <w:t>Trigger deterministic test executions, view real-time log streaming</w:t>
            </w:r>
          </w:p>
        </w:tc>
      </w:tr>
      <w:tr>
        <w:tc>
          <w:tcPr>
            <w:tcW w:type="dxa" w:w="2592"/>
          </w:tcPr>
          <w:p>
            <w:r>
              <w:rPr>
                <w:rFonts w:ascii="Times New Roman" w:hAnsi="Times New Roman"/>
                <w:sz w:val="20"/>
              </w:rPr>
              <w:t>RunHistoryPanel / LogViewer</w:t>
            </w:r>
          </w:p>
        </w:tc>
        <w:tc>
          <w:tcPr>
            <w:tcW w:type="dxa" w:w="2160"/>
          </w:tcPr>
          <w:p>
            <w:r>
              <w:rPr>
                <w:rFonts w:ascii="Times New Roman" w:hAnsi="Times New Roman"/>
                <w:sz w:val="20"/>
              </w:rPr>
              <w:t>Data Table &amp; Display</w:t>
            </w:r>
          </w:p>
        </w:tc>
        <w:tc>
          <w:tcPr>
            <w:tcW w:type="dxa" w:w="3888"/>
          </w:tcPr>
          <w:p>
            <w:r>
              <w:rPr>
                <w:rFonts w:ascii="Times New Roman" w:hAnsi="Times New Roman"/>
                <w:sz w:val="20"/>
              </w:rPr>
              <w:t>View historical runs, expand requests to inspect raw JSON payloads</w:t>
            </w:r>
          </w:p>
        </w:tc>
      </w:tr>
      <w:tr>
        <w:tc>
          <w:tcPr>
            <w:tcW w:type="dxa" w:w="2592"/>
          </w:tcPr>
          <w:p>
            <w:r>
              <w:rPr>
                <w:rFonts w:ascii="Times New Roman" w:hAnsi="Times New Roman"/>
                <w:sz w:val="20"/>
              </w:rPr>
              <w:t>StatusDonut / StatusDistribution</w:t>
            </w:r>
          </w:p>
        </w:tc>
        <w:tc>
          <w:tcPr>
            <w:tcW w:type="dxa" w:w="2160"/>
          </w:tcPr>
          <w:p>
            <w:r>
              <w:rPr>
                <w:rFonts w:ascii="Times New Roman" w:hAnsi="Times New Roman"/>
                <w:sz w:val="20"/>
              </w:rPr>
              <w:t>Charts</w:t>
            </w:r>
          </w:p>
        </w:tc>
        <w:tc>
          <w:tcPr>
            <w:tcW w:type="dxa" w:w="3888"/>
          </w:tcPr>
          <w:p>
            <w:r>
              <w:rPr>
                <w:rFonts w:ascii="Times New Roman" w:hAnsi="Times New Roman"/>
                <w:sz w:val="20"/>
              </w:rPr>
              <w:t>Visualize coverage, pass/fail rates, and HTTP 5xx error distributions</w:t>
            </w:r>
          </w:p>
        </w:tc>
      </w:tr>
      <w:tr>
        <w:tc>
          <w:tcPr>
            <w:tcW w:type="dxa" w:w="2592"/>
          </w:tcPr>
          <w:p>
            <w:r>
              <w:rPr>
                <w:rFonts w:ascii="Times New Roman" w:hAnsi="Times New Roman"/>
                <w:sz w:val="20"/>
              </w:rPr>
              <w:t>InviteModal / NotificationsCard</w:t>
            </w:r>
          </w:p>
        </w:tc>
        <w:tc>
          <w:tcPr>
            <w:tcW w:type="dxa" w:w="2160"/>
          </w:tcPr>
          <w:p>
            <w:r>
              <w:rPr>
                <w:rFonts w:ascii="Times New Roman" w:hAnsi="Times New Roman"/>
                <w:sz w:val="20"/>
              </w:rPr>
              <w:t>Management</w:t>
            </w:r>
          </w:p>
        </w:tc>
        <w:tc>
          <w:tcPr>
            <w:tcW w:type="dxa" w:w="3888"/>
          </w:tcPr>
          <w:p>
            <w:r>
              <w:rPr>
                <w:rFonts w:ascii="Times New Roman" w:hAnsi="Times New Roman"/>
                <w:sz w:val="20"/>
              </w:rPr>
              <w:t>Send RBAC email invites, view and accept/reject pending invitations</w:t>
            </w:r>
          </w:p>
        </w:tc>
      </w:tr>
      <w:tr>
        <w:tc>
          <w:tcPr>
            <w:tcW w:type="dxa" w:w="2592"/>
          </w:tcPr>
          <w:p>
            <w:r>
              <w:rPr>
                <w:rFonts w:ascii="Times New Roman" w:hAnsi="Times New Roman"/>
                <w:sz w:val="20"/>
              </w:rPr>
              <w:t>LLMSettingsDashboard</w:t>
            </w:r>
          </w:p>
        </w:tc>
        <w:tc>
          <w:tcPr>
            <w:tcW w:type="dxa" w:w="2160"/>
          </w:tcPr>
          <w:p>
            <w:r>
              <w:rPr>
                <w:rFonts w:ascii="Times New Roman" w:hAnsi="Times New Roman"/>
                <w:sz w:val="20"/>
              </w:rPr>
              <w:t>Admin Panel</w:t>
            </w:r>
          </w:p>
        </w:tc>
        <w:tc>
          <w:tcPr>
            <w:tcW w:type="dxa" w:w="3888"/>
          </w:tcPr>
          <w:p>
            <w:r>
              <w:rPr>
                <w:rFonts w:ascii="Times New Roman" w:hAnsi="Times New Roman"/>
                <w:sz w:val="20"/>
              </w:rPr>
              <w:t>Configure NVIDIA API keys and toggle underlying generation models</w:t>
            </w:r>
          </w:p>
        </w:tc>
      </w:tr>
    </w:tbl>
    <w:p>
      <w:pPr>
        <w:spacing w:line="276" w:lineRule="auto" w:after="160"/>
      </w:pPr>
      <w:r>
        <w:rPr>
          <w:rFonts w:ascii="Times New Roman" w:hAnsi="Times New Roman"/>
          <w:b w:val="0"/>
          <w:sz w:val="24"/>
        </w:rPr>
      </w:r>
    </w:p>
    <w:p>
      <w:pPr>
        <w:pStyle w:val="Heading3"/>
        <w:spacing w:after="120"/>
      </w:pPr>
      <w:r>
        <w:rPr>
          <w:rFonts w:ascii="Times New Roman" w:hAnsi="Times New Roman"/>
          <w:b/>
          <w:color w:val="1F3964"/>
          <w:sz w:val="26"/>
        </w:rPr>
        <w:t>3.2.2 UI Events and State Transitions</w:t>
      </w:r>
    </w:p>
    <w:p>
      <w:pPr>
        <w:spacing w:line="276" w:lineRule="auto" w:after="160"/>
      </w:pPr>
      <w:r>
        <w:rPr>
          <w:rFonts w:ascii="Times New Roman" w:hAnsi="Times New Roman"/>
          <w:b w:val="0"/>
          <w:i/>
          <w:sz w:val="24"/>
        </w:rPr>
        <w:t>Table 3.2: Key UI Events and State Changes</w:t>
      </w:r>
    </w:p>
    <w:tbl>
      <w:tblPr>
        <w:tblStyle w:val="TableGrid"/>
        <w:tblW w:type="auto" w:w="0"/>
        <w:jc w:val="center"/>
        <w:tblLayout w:type="fixed"/>
        <w:tblLook w:firstColumn="1" w:firstRow="1" w:lastColumn="0" w:lastRow="0" w:noHBand="0" w:noVBand="1" w:val="04A0"/>
      </w:tblPr>
      <w:tblGrid>
        <w:gridCol w:w="2592"/>
        <w:gridCol w:w="2880"/>
        <w:gridCol w:w="3168"/>
      </w:tblGrid>
      <w:tr>
        <w:tc>
          <w:tcPr>
            <w:tcW w:type="dxa" w:w="2592"/>
          </w:tcPr>
          <w:p>
            <w:r>
              <w:rPr>
                <w:rFonts w:ascii="Times New Roman" w:hAnsi="Times New Roman"/>
                <w:b/>
                <w:sz w:val="22"/>
              </w:rPr>
              <w:t>User Event</w:t>
            </w:r>
          </w:p>
        </w:tc>
        <w:tc>
          <w:tcPr>
            <w:tcW w:type="dxa" w:w="2880"/>
          </w:tcPr>
          <w:p>
            <w:r>
              <w:rPr>
                <w:rFonts w:ascii="Times New Roman" w:hAnsi="Times New Roman"/>
                <w:b/>
                <w:sz w:val="22"/>
              </w:rPr>
              <w:t>Action</w:t>
            </w:r>
          </w:p>
        </w:tc>
        <w:tc>
          <w:tcPr>
            <w:tcW w:type="dxa" w:w="3168"/>
          </w:tcPr>
          <w:p>
            <w:r>
              <w:rPr>
                <w:rFonts w:ascii="Times New Roman" w:hAnsi="Times New Roman"/>
                <w:b/>
                <w:sz w:val="22"/>
              </w:rPr>
              <w:t>UI State Change</w:t>
            </w:r>
          </w:p>
        </w:tc>
      </w:tr>
      <w:tr>
        <w:tc>
          <w:tcPr>
            <w:tcW w:type="dxa" w:w="2592"/>
          </w:tcPr>
          <w:p>
            <w:r>
              <w:rPr>
                <w:rFonts w:ascii="Times New Roman" w:hAnsi="Times New Roman"/>
                <w:sz w:val="20"/>
              </w:rPr>
              <w:t>Submit Login Credentials</w:t>
            </w:r>
          </w:p>
        </w:tc>
        <w:tc>
          <w:tcPr>
            <w:tcW w:type="dxa" w:w="2880"/>
          </w:tcPr>
          <w:p>
            <w:r>
              <w:rPr>
                <w:rFonts w:ascii="Times New Roman" w:hAnsi="Times New Roman"/>
                <w:sz w:val="20"/>
              </w:rPr>
              <w:t>POST /auth/login</w:t>
            </w:r>
          </w:p>
        </w:tc>
        <w:tc>
          <w:tcPr>
            <w:tcW w:type="dxa" w:w="3168"/>
          </w:tcPr>
          <w:p>
            <w:r>
              <w:rPr>
                <w:rFonts w:ascii="Times New Roman" w:hAnsi="Times New Roman"/>
                <w:sz w:val="20"/>
              </w:rPr>
              <w:t>Authentication token stored -&gt; Redirect to Dashboard</w:t>
            </w:r>
          </w:p>
        </w:tc>
      </w:tr>
      <w:tr>
        <w:tc>
          <w:tcPr>
            <w:tcW w:type="dxa" w:w="2592"/>
          </w:tcPr>
          <w:p>
            <w:r>
              <w:rPr>
                <w:rFonts w:ascii="Times New Roman" w:hAnsi="Times New Roman"/>
                <w:sz w:val="20"/>
              </w:rPr>
              <w:t>Upload Source Code Zip</w:t>
            </w:r>
          </w:p>
        </w:tc>
        <w:tc>
          <w:tcPr>
            <w:tcW w:type="dxa" w:w="2880"/>
          </w:tcPr>
          <w:p>
            <w:r>
              <w:rPr>
                <w:rFonts w:ascii="Times New Roman" w:hAnsi="Times New Roman"/>
                <w:sz w:val="20"/>
              </w:rPr>
              <w:t>POST /specs/generate</w:t>
            </w:r>
          </w:p>
        </w:tc>
        <w:tc>
          <w:tcPr>
            <w:tcW w:type="dxa" w:w="3168"/>
          </w:tcPr>
          <w:p>
            <w:r>
              <w:rPr>
                <w:rFonts w:ascii="Times New Roman" w:hAnsi="Times New Roman"/>
                <w:sz w:val="20"/>
              </w:rPr>
              <w:t>Polling GET /specs/generation-status -&gt; Editor populates OpenAPI spec</w:t>
            </w:r>
          </w:p>
        </w:tc>
      </w:tr>
      <w:tr>
        <w:tc>
          <w:tcPr>
            <w:tcW w:type="dxa" w:w="2592"/>
          </w:tcPr>
          <w:p>
            <w:r>
              <w:rPr>
                <w:rFonts w:ascii="Times New Roman" w:hAnsi="Times New Roman"/>
                <w:sz w:val="20"/>
              </w:rPr>
              <w:t>Click Graph Node</w:t>
            </w:r>
          </w:p>
        </w:tc>
        <w:tc>
          <w:tcPr>
            <w:tcW w:type="dxa" w:w="2880"/>
          </w:tcPr>
          <w:p>
            <w:r>
              <w:rPr>
                <w:rFonts w:ascii="Times New Roman" w:hAnsi="Times New Roman"/>
                <w:sz w:val="20"/>
              </w:rPr>
              <w:t>Client-side Context Update</w:t>
            </w:r>
          </w:p>
        </w:tc>
        <w:tc>
          <w:tcPr>
            <w:tcW w:type="dxa" w:w="3168"/>
          </w:tcPr>
          <w:p>
            <w:r>
              <w:rPr>
                <w:rFonts w:ascii="Times New Roman" w:hAnsi="Times New Roman"/>
                <w:sz w:val="20"/>
              </w:rPr>
              <w:t>EndpointDetailPanel slides in, connected upstream/downstream nodes highlight</w:t>
            </w:r>
          </w:p>
        </w:tc>
      </w:tr>
      <w:tr>
        <w:tc>
          <w:tcPr>
            <w:tcW w:type="dxa" w:w="2592"/>
          </w:tcPr>
          <w:p>
            <w:r>
              <w:rPr>
                <w:rFonts w:ascii="Times New Roman" w:hAnsi="Times New Roman"/>
                <w:sz w:val="20"/>
              </w:rPr>
              <w:t>Toggle Focus Mode</w:t>
            </w:r>
          </w:p>
        </w:tc>
        <w:tc>
          <w:tcPr>
            <w:tcW w:type="dxa" w:w="2880"/>
          </w:tcPr>
          <w:p>
            <w:r>
              <w:rPr>
                <w:rFonts w:ascii="Times New Roman" w:hAnsi="Times New Roman"/>
                <w:sz w:val="20"/>
              </w:rPr>
              <w:t>Client-side Layout Update</w:t>
            </w:r>
          </w:p>
        </w:tc>
        <w:tc>
          <w:tcPr>
            <w:tcW w:type="dxa" w:w="3168"/>
          </w:tcPr>
          <w:p>
            <w:r>
              <w:rPr>
                <w:rFonts w:ascii="Times New Roman" w:hAnsi="Times New Roman"/>
                <w:sz w:val="20"/>
              </w:rPr>
              <w:t>Canvas layout shifts to a rigid 3-column hierarchy</w:t>
            </w:r>
          </w:p>
        </w:tc>
      </w:tr>
      <w:tr>
        <w:tc>
          <w:tcPr>
            <w:tcW w:type="dxa" w:w="2592"/>
          </w:tcPr>
          <w:p>
            <w:r>
              <w:rPr>
                <w:rFonts w:ascii="Times New Roman" w:hAnsi="Times New Roman"/>
                <w:sz w:val="20"/>
              </w:rPr>
              <w:t>Click "Run Test Suite"</w:t>
            </w:r>
          </w:p>
        </w:tc>
        <w:tc>
          <w:tcPr>
            <w:tcW w:type="dxa" w:w="2880"/>
          </w:tcPr>
          <w:p>
            <w:r>
              <w:rPr>
                <w:rFonts w:ascii="Times New Roman" w:hAnsi="Times New Roman"/>
                <w:sz w:val="20"/>
              </w:rPr>
              <w:t>POST /executions/run</w:t>
            </w:r>
          </w:p>
        </w:tc>
        <w:tc>
          <w:tcPr>
            <w:tcW w:type="dxa" w:w="3168"/>
          </w:tcPr>
          <w:p>
            <w:r>
              <w:rPr>
                <w:rFonts w:ascii="Times New Roman" w:hAnsi="Times New Roman"/>
                <w:sz w:val="20"/>
              </w:rPr>
              <w:t>Status changes to 'Running', RunTimeline visually fills as steps complete</w:t>
            </w:r>
          </w:p>
        </w:tc>
      </w:tr>
      <w:tr>
        <w:tc>
          <w:tcPr>
            <w:tcW w:type="dxa" w:w="2592"/>
          </w:tcPr>
          <w:p>
            <w:r>
              <w:rPr>
                <w:rFonts w:ascii="Times New Roman" w:hAnsi="Times New Roman"/>
                <w:sz w:val="20"/>
              </w:rPr>
              <w:t>Expand Test Log</w:t>
            </w:r>
          </w:p>
        </w:tc>
        <w:tc>
          <w:tcPr>
            <w:tcW w:type="dxa" w:w="2880"/>
          </w:tcPr>
          <w:p>
            <w:r>
              <w:rPr>
                <w:rFonts w:ascii="Times New Roman" w:hAnsi="Times New Roman"/>
                <w:sz w:val="20"/>
              </w:rPr>
              <w:t>GET /request-logs/{id}</w:t>
            </w:r>
          </w:p>
        </w:tc>
        <w:tc>
          <w:tcPr>
            <w:tcW w:type="dxa" w:w="3168"/>
          </w:tcPr>
          <w:p>
            <w:r>
              <w:rPr>
                <w:rFonts w:ascii="Times New Roman" w:hAnsi="Times New Roman"/>
                <w:sz w:val="20"/>
              </w:rPr>
              <w:t>Accordion expands, request headers and response JSON render with syntax highlighting</w:t>
            </w:r>
          </w:p>
        </w:tc>
      </w:tr>
      <w:tr>
        <w:tc>
          <w:tcPr>
            <w:tcW w:type="dxa" w:w="2592"/>
          </w:tcPr>
          <w:p>
            <w:r>
              <w:rPr>
                <w:rFonts w:ascii="Times New Roman" w:hAnsi="Times New Roman"/>
                <w:sz w:val="20"/>
              </w:rPr>
              <w:t>Click "AI Explain"</w:t>
            </w:r>
          </w:p>
        </w:tc>
        <w:tc>
          <w:tcPr>
            <w:tcW w:type="dxa" w:w="2880"/>
          </w:tcPr>
          <w:p>
            <w:r>
              <w:rPr>
                <w:rFonts w:ascii="Times New Roman" w:hAnsi="Times New Roman"/>
                <w:sz w:val="20"/>
              </w:rPr>
              <w:t>POST /reports/explain-failure</w:t>
            </w:r>
          </w:p>
        </w:tc>
        <w:tc>
          <w:tcPr>
            <w:tcW w:type="dxa" w:w="3168"/>
          </w:tcPr>
          <w:p>
            <w:r>
              <w:rPr>
                <w:rFonts w:ascii="Times New Roman" w:hAnsi="Times New Roman"/>
                <w:sz w:val="20"/>
              </w:rPr>
              <w:t>Modal opens, real-time streamed plain-language root-cause analysis appears</w:t>
            </w:r>
          </w:p>
        </w:tc>
      </w:tr>
      <w:tr>
        <w:tc>
          <w:tcPr>
            <w:tcW w:type="dxa" w:w="2592"/>
          </w:tcPr>
          <w:p>
            <w:r>
              <w:rPr>
                <w:rFonts w:ascii="Times New Roman" w:hAnsi="Times New Roman"/>
                <w:sz w:val="20"/>
              </w:rPr>
              <w:t>Send Team Invite</w:t>
            </w:r>
          </w:p>
        </w:tc>
        <w:tc>
          <w:tcPr>
            <w:tcW w:type="dxa" w:w="2880"/>
          </w:tcPr>
          <w:p>
            <w:r>
              <w:rPr>
                <w:rFonts w:ascii="Times New Roman" w:hAnsi="Times New Roman"/>
                <w:sz w:val="20"/>
              </w:rPr>
              <w:t>POST /invitations</w:t>
            </w:r>
          </w:p>
        </w:tc>
        <w:tc>
          <w:tcPr>
            <w:tcW w:type="dxa" w:w="3168"/>
          </w:tcPr>
          <w:p>
            <w:r>
              <w:rPr>
                <w:rFonts w:ascii="Times New Roman" w:hAnsi="Times New Roman"/>
                <w:sz w:val="20"/>
              </w:rPr>
              <w:t>Email dispatched, new 'Pending' badge appears on the invite table</w:t>
            </w:r>
          </w:p>
        </w:tc>
      </w:tr>
      <w:tr>
        <w:tc>
          <w:tcPr>
            <w:tcW w:type="dxa" w:w="2592"/>
          </w:tcPr>
          <w:p>
            <w:r>
              <w:rPr>
                <w:rFonts w:ascii="Times New Roman" w:hAnsi="Times New Roman"/>
                <w:sz w:val="20"/>
              </w:rPr>
              <w:t>Accept Invitation</w:t>
            </w:r>
          </w:p>
        </w:tc>
        <w:tc>
          <w:tcPr>
            <w:tcW w:type="dxa" w:w="2880"/>
          </w:tcPr>
          <w:p>
            <w:r>
              <w:rPr>
                <w:rFonts w:ascii="Times New Roman" w:hAnsi="Times New Roman"/>
                <w:sz w:val="20"/>
              </w:rPr>
              <w:t>PATCH /invitations/{id}/accept</w:t>
            </w:r>
          </w:p>
        </w:tc>
        <w:tc>
          <w:tcPr>
            <w:tcW w:type="dxa" w:w="3168"/>
          </w:tcPr>
          <w:p>
            <w:r>
              <w:rPr>
                <w:rFonts w:ascii="Times New Roman" w:hAnsi="Times New Roman"/>
                <w:sz w:val="20"/>
              </w:rPr>
              <w:t>User granted project access, project appears in Dashboard</w:t>
            </w:r>
          </w:p>
        </w:tc>
      </w:tr>
      <w:tr>
        <w:tc>
          <w:tcPr>
            <w:tcW w:type="dxa" w:w="2592"/>
          </w:tcPr>
          <w:p>
            <w:r>
              <w:rPr>
                <w:rFonts w:ascii="Times New Roman" w:hAnsi="Times New Roman"/>
                <w:sz w:val="20"/>
              </w:rPr>
              <w:t>Update LLM Config</w:t>
            </w:r>
          </w:p>
        </w:tc>
        <w:tc>
          <w:tcPr>
            <w:tcW w:type="dxa" w:w="2880"/>
          </w:tcPr>
          <w:p>
            <w:r>
              <w:rPr>
                <w:rFonts w:ascii="Times New Roman" w:hAnsi="Times New Roman"/>
                <w:sz w:val="20"/>
              </w:rPr>
              <w:t>PATCH /admin/llm-settings</w:t>
            </w:r>
          </w:p>
        </w:tc>
        <w:tc>
          <w:tcPr>
            <w:tcW w:type="dxa" w:w="3168"/>
          </w:tcPr>
          <w:p>
            <w:r>
              <w:rPr>
                <w:rFonts w:ascii="Times New Roman" w:hAnsi="Times New Roman"/>
                <w:sz w:val="20"/>
              </w:rPr>
              <w:t>Global toast appears, subsequent AI generations use new model/keys</w:t>
            </w:r>
          </w:p>
        </w:tc>
      </w:tr>
    </w:tbl>
    <w:p>
      <w:pPr>
        <w:spacing w:line="276" w:lineRule="auto" w:after="160"/>
      </w:pPr>
      <w:r>
        <w:rPr>
          <w:rFonts w:ascii="Times New Roman" w:hAnsi="Times New Roman"/>
          <w:b w:val="0"/>
          <w:sz w:val="24"/>
        </w:rPr>
      </w:r>
    </w:p>
    <w:p>
      <w:pPr>
        <w:pStyle w:val="Heading3"/>
        <w:spacing w:after="120"/>
      </w:pPr>
      <w:r>
        <w:rPr>
          <w:rFonts w:ascii="Times New Roman" w:hAnsi="Times New Roman"/>
          <w:b/>
          <w:color w:val="1F3964"/>
          <w:sz w:val="26"/>
        </w:rPr>
        <w:t>3.2.3 Interface States Depiction</w:t>
      </w:r>
    </w:p>
    <w:p>
      <w:pPr>
        <w:spacing w:line="276" w:lineRule="auto" w:after="160"/>
      </w:pPr>
      <w:r>
        <w:rPr>
          <w:rFonts w:ascii="Times New Roman" w:hAnsi="Times New Roman"/>
          <w:b w:val="0"/>
          <w:sz w:val="24"/>
        </w:rPr>
        <w:t>The following sections depict the interface states as they will actually look to the end user during various stages of interaction:</w:t>
      </w:r>
    </w:p>
    <w:p>
      <w:pPr>
        <w:pStyle w:val="Heading4"/>
        <w:spacing w:after="120"/>
      </w:pPr>
      <w:r>
        <w:rPr>
          <w:rFonts w:ascii="Times New Roman" w:hAnsi="Times New Roman"/>
          <w:b/>
          <w:color w:val="1F3964"/>
          <w:sz w:val="24"/>
        </w:rPr>
        <w:t>Authentication &amp; Onboarding</w:t>
      </w:r>
    </w:p>
    <w:p>
      <w:pPr>
        <w:spacing w:line="276" w:lineRule="auto" w:after="160"/>
      </w:pPr>
      <w:r>
        <w:rPr>
          <w:rFonts w:ascii="Times New Roman" w:hAnsi="Times New Roman"/>
          <w:b w:val="0"/>
          <w:sz w:val="24"/>
        </w:rPr>
        <w:t>• Landing Page: The initial unauthenticated state outlining platform features. (Insert: '1. landing page.png')</w:t>
      </w:r>
    </w:p>
    <w:p>
      <w:pPr>
        <w:spacing w:line="276" w:lineRule="auto" w:after="160"/>
      </w:pPr>
      <w:r>
        <w:rPr>
          <w:rFonts w:ascii="Times New Roman" w:hAnsi="Times New Roman"/>
          <w:b w:val="0"/>
          <w:sz w:val="24"/>
        </w:rPr>
        <w:t>• Registration &amp; Verification: The state during user onboarding requiring email OTP verification. (Insert: '2. register.png', '3. email verification.png')</w:t>
      </w:r>
    </w:p>
    <w:p>
      <w:pPr>
        <w:spacing w:line="276" w:lineRule="auto" w:after="160"/>
      </w:pPr>
      <w:r>
        <w:rPr>
          <w:rFonts w:ascii="Times New Roman" w:hAnsi="Times New Roman"/>
          <w:b w:val="0"/>
          <w:sz w:val="24"/>
        </w:rPr>
        <w:t>• Login &amp; Password Recovery: The authentication gateway. (Insert: '4. login.png', '5.1 password reset 1.png')</w:t>
      </w:r>
    </w:p>
    <w:p>
      <w:pPr>
        <w:pStyle w:val="Heading4"/>
        <w:spacing w:after="120"/>
      </w:pPr>
      <w:r>
        <w:rPr>
          <w:rFonts w:ascii="Times New Roman" w:hAnsi="Times New Roman"/>
          <w:b/>
          <w:color w:val="1F3964"/>
          <w:sz w:val="24"/>
        </w:rPr>
        <w:t>Global Navigation &amp; Dashboard</w:t>
      </w:r>
    </w:p>
    <w:p>
      <w:pPr>
        <w:spacing w:line="276" w:lineRule="auto" w:after="160"/>
      </w:pPr>
      <w:r>
        <w:rPr>
          <w:rFonts w:ascii="Times New Roman" w:hAnsi="Times New Roman"/>
          <w:b w:val="0"/>
          <w:sz w:val="24"/>
        </w:rPr>
        <w:t>• Global Dashboard: The central hub showing active projects and high-level statistics. (Insert: '7. homepage dashboard.png')</w:t>
      </w:r>
    </w:p>
    <w:p>
      <w:pPr>
        <w:spacing w:line="276" w:lineRule="auto" w:after="160"/>
      </w:pPr>
      <w:r>
        <w:rPr>
          <w:rFonts w:ascii="Times New Roman" w:hAnsi="Times New Roman"/>
          <w:b w:val="0"/>
          <w:sz w:val="24"/>
        </w:rPr>
        <w:t>• Project Creation: The modal state for initializing a new workspace. (Insert: '8. new project create.png')</w:t>
      </w:r>
    </w:p>
    <w:p>
      <w:pPr>
        <w:pStyle w:val="Heading4"/>
        <w:spacing w:after="120"/>
      </w:pPr>
      <w:r>
        <w:rPr>
          <w:rFonts w:ascii="Times New Roman" w:hAnsi="Times New Roman"/>
          <w:b/>
          <w:color w:val="1F3964"/>
          <w:sz w:val="24"/>
        </w:rPr>
        <w:t>Project Workspace</w:t>
      </w:r>
    </w:p>
    <w:p>
      <w:pPr>
        <w:spacing w:line="276" w:lineRule="auto" w:after="160"/>
      </w:pPr>
      <w:r>
        <w:rPr>
          <w:rFonts w:ascii="Times New Roman" w:hAnsi="Times New Roman"/>
          <w:b w:val="0"/>
          <w:sz w:val="24"/>
        </w:rPr>
        <w:t>• Project Overview: The high-level summary of a specific project's health and recent activity. (Insert: '9. project overview.png')</w:t>
      </w:r>
    </w:p>
    <w:p>
      <w:pPr>
        <w:spacing w:line="276" w:lineRule="auto" w:after="160"/>
      </w:pPr>
      <w:r>
        <w:rPr>
          <w:rFonts w:ascii="Times New Roman" w:hAnsi="Times New Roman"/>
          <w:b w:val="0"/>
          <w:sz w:val="24"/>
        </w:rPr>
        <w:t>• API Specification Management: The state showing the uploaded or AI-generated OpenAPI specification alongside the code editor. (Insert: '10.1 api spec.png', '10.2 generate api spec.png')</w:t>
      </w:r>
    </w:p>
    <w:p>
      <w:pPr>
        <w:spacing w:line="276" w:lineRule="auto" w:after="160"/>
      </w:pPr>
      <w:r>
        <w:rPr>
          <w:rFonts w:ascii="Times New Roman" w:hAnsi="Times New Roman"/>
          <w:b w:val="0"/>
          <w:sz w:val="24"/>
        </w:rPr>
        <w:t>• Endpoints View: The listing and manual creation interface for API routes. (Insert: '11.1. endpoints.png', '11.2 add endpoint.png')</w:t>
      </w:r>
    </w:p>
    <w:p>
      <w:pPr>
        <w:spacing w:line="276" w:lineRule="auto" w:after="160"/>
      </w:pPr>
      <w:r>
        <w:rPr>
          <w:rFonts w:ascii="Times New Roman" w:hAnsi="Times New Roman"/>
          <w:b w:val="0"/>
          <w:sz w:val="24"/>
        </w:rPr>
        <w:t>• Dependency Graph: The interactive visualization of API execution order and data flow, including the 3-column focus mode. (Insert: '12. graph.png')</w:t>
      </w:r>
    </w:p>
    <w:p>
      <w:pPr>
        <w:pStyle w:val="Heading4"/>
        <w:spacing w:after="120"/>
      </w:pPr>
      <w:r>
        <w:rPr>
          <w:rFonts w:ascii="Times New Roman" w:hAnsi="Times New Roman"/>
          <w:b/>
          <w:color w:val="1F3964"/>
          <w:sz w:val="24"/>
        </w:rPr>
        <w:t>Testing &amp; Results</w:t>
      </w:r>
    </w:p>
    <w:p>
      <w:pPr>
        <w:spacing w:line="276" w:lineRule="auto" w:after="160"/>
      </w:pPr>
      <w:r>
        <w:rPr>
          <w:rFonts w:ascii="Times New Roman" w:hAnsi="Times New Roman"/>
          <w:b w:val="0"/>
          <w:sz w:val="24"/>
        </w:rPr>
        <w:t>• Test Suites: The configuration state for grouping and managing test cases. (Insert: '13. test suit create.png')</w:t>
      </w:r>
    </w:p>
    <w:p>
      <w:pPr>
        <w:spacing w:line="276" w:lineRule="auto" w:after="160"/>
      </w:pPr>
      <w:r>
        <w:rPr>
          <w:rFonts w:ascii="Times New Roman" w:hAnsi="Times New Roman"/>
          <w:b w:val="0"/>
          <w:sz w:val="24"/>
        </w:rPr>
        <w:t>• Test Results &amp; Request Logs: The detailed reporting state displaying pass/fail metrics, execution logs, and granular HTTP request/response payloads along with AI Explanations. (Insert: '14.1 test result.png', '14.2 request log.png')</w:t>
      </w:r>
    </w:p>
    <w:p>
      <w:pPr>
        <w:pStyle w:val="Heading4"/>
        <w:spacing w:after="120"/>
      </w:pPr>
      <w:r>
        <w:rPr>
          <w:rFonts w:ascii="Times New Roman" w:hAnsi="Times New Roman"/>
          <w:b/>
          <w:color w:val="1F3964"/>
          <w:sz w:val="24"/>
        </w:rPr>
        <w:t>Collaboration &amp; Settings</w:t>
      </w:r>
    </w:p>
    <w:p>
      <w:pPr>
        <w:spacing w:line="276" w:lineRule="auto" w:after="160"/>
      </w:pPr>
      <w:r>
        <w:rPr>
          <w:rFonts w:ascii="Times New Roman" w:hAnsi="Times New Roman"/>
          <w:b w:val="0"/>
          <w:sz w:val="24"/>
        </w:rPr>
        <w:t>• Team Management: The interface for handling Role-Based Access Control (RBAC) and inviting members. (Insert: '15.1 team manage.png', '15.2 invite member.png', '15.3 my invitation.png')</w:t>
      </w:r>
    </w:p>
    <w:p>
      <w:pPr>
        <w:spacing w:line="276" w:lineRule="auto" w:after="160"/>
      </w:pPr>
      <w:r>
        <w:rPr>
          <w:rFonts w:ascii="Times New Roman" w:hAnsi="Times New Roman"/>
          <w:b w:val="0"/>
          <w:sz w:val="24"/>
        </w:rPr>
        <w:t>• Profile Settings &amp; Admin: The user preferences and global application settings state. (Insert: '16. profile settings.png')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