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after="120" w:before="240"/>
      </w:pPr>
      <w:r>
        <w:rPr>
          <w:rFonts w:ascii="Times New Roman" w:hAnsi="Times New Roman"/>
          <w:b/>
          <w:color w:val="1F3964"/>
          <w:sz w:val="28"/>
        </w:rPr>
        <w:t>4. Testing Components</w:t>
      </w:r>
    </w:p>
    <w:p>
      <w:pPr>
        <w:spacing w:line="276" w:lineRule="auto" w:after="160"/>
      </w:pPr>
      <w:r>
        <w:rPr>
          <w:rFonts w:ascii="Times New Roman" w:hAnsi="Times New Roman"/>
          <w:b w:val="0"/>
          <w:i w:val="0"/>
          <w:sz w:val="24"/>
        </w:rPr>
        <w:t>This section outlines the Software Quality Assurance (SQA) procedures implemented to verify the stability, security, and functional correctness of the AutoRestTest platform itself (not the target APIs being tested).</w:t>
      </w:r>
    </w:p>
    <w:p>
      <w:pPr>
        <w:pStyle w:val="Heading3"/>
        <w:spacing w:after="120" w:before="240"/>
      </w:pPr>
      <w:r>
        <w:rPr>
          <w:rFonts w:ascii="Times New Roman" w:hAnsi="Times New Roman"/>
          <w:b/>
          <w:color w:val="1F3964"/>
          <w:sz w:val="26"/>
        </w:rPr>
        <w:t>4.1 Testing Approach &amp; Strategy</w:t>
      </w:r>
    </w:p>
    <w:p>
      <w:pPr>
        <w:spacing w:line="276" w:lineRule="auto" w:after="160"/>
      </w:pPr>
      <w:r>
        <w:rPr>
          <w:rFonts w:ascii="Times New Roman" w:hAnsi="Times New Roman"/>
          <w:b w:val="0"/>
          <w:i w:val="0"/>
          <w:sz w:val="24"/>
        </w:rPr>
        <w:t>AutoRestTest employs a hybrid testing strategy designed to handle both deterministic web application logic and non-deterministic AI pipelines:</w:t>
      </w:r>
    </w:p>
    <w:p>
      <w:pPr>
        <w:spacing w:line="276" w:lineRule="auto" w:after="160"/>
      </w:pPr>
      <w:r>
        <w:rPr>
          <w:rFonts w:ascii="Times New Roman" w:hAnsi="Times New Roman"/>
          <w:b/>
          <w:i w:val="0"/>
          <w:sz w:val="24"/>
        </w:rPr>
        <w:t xml:space="preserve">1. Backend Unit Testing: </w:t>
      </w:r>
    </w:p>
    <w:p>
      <w:pPr>
        <w:spacing w:line="276" w:lineRule="auto" w:after="160"/>
      </w:pPr>
      <w:r>
        <w:rPr>
          <w:rFonts w:ascii="Times New Roman" w:hAnsi="Times New Roman"/>
          <w:b w:val="0"/>
          <w:i w:val="0"/>
          <w:sz w:val="24"/>
        </w:rPr>
        <w:t>The NestJS backend relies heavily on the Jest testing framework. Isolated unit tests (e.g., auth.service.spec.ts, endpoint-extractor.spec.ts) are executed by mocking the Prisma ORM layer, ensuring business logic and RBAC validations function correctly without hitting a live database.</w:t>
      </w:r>
    </w:p>
    <w:p>
      <w:pPr>
        <w:spacing w:line="276" w:lineRule="auto" w:after="160"/>
      </w:pPr>
      <w:r>
        <w:rPr>
          <w:rFonts w:ascii="Times New Roman" w:hAnsi="Times New Roman"/>
          <w:b/>
          <w:i w:val="0"/>
          <w:sz w:val="24"/>
        </w:rPr>
        <w:t xml:space="preserve">2. Frontend Validation: </w:t>
      </w:r>
    </w:p>
    <w:p>
      <w:pPr>
        <w:spacing w:line="276" w:lineRule="auto" w:after="160"/>
      </w:pPr>
      <w:r>
        <w:rPr>
          <w:rFonts w:ascii="Times New Roman" w:hAnsi="Times New Roman"/>
          <w:b w:val="0"/>
          <w:i w:val="0"/>
          <w:sz w:val="24"/>
        </w:rPr>
        <w:t>React components and TanStack Query state transitions are manually validated against edge cases, ensuring loading spinners, error toasts, and UI constraints (like missing permissions) trigger appropriately.</w:t>
      </w:r>
    </w:p>
    <w:p>
      <w:pPr>
        <w:spacing w:line="276" w:lineRule="auto" w:after="160"/>
      </w:pPr>
      <w:r>
        <w:rPr>
          <w:rFonts w:ascii="Times New Roman" w:hAnsi="Times New Roman"/>
          <w:b/>
          <w:i w:val="0"/>
          <w:sz w:val="24"/>
        </w:rPr>
        <w:t xml:space="preserve">3. AI Pipeline &amp; Engine Testing: </w:t>
      </w:r>
    </w:p>
    <w:p>
      <w:pPr>
        <w:spacing w:line="276" w:lineRule="auto" w:after="160"/>
      </w:pPr>
      <w:r>
        <w:rPr>
          <w:rFonts w:ascii="Times New Roman" w:hAnsi="Times New Roman"/>
          <w:b w:val="0"/>
          <w:i w:val="0"/>
          <w:sz w:val="24"/>
        </w:rPr>
        <w:t>The Python MARL testing engine and LLM generation services utilize a "Mock Engine Mode" (ENGINE_MODE=mock). This bypasses live NVIDIA API calls, injecting static responses to deterministically verify the pipeline's handling of LLM outputs without incurring API costs or waiting for generation.</w:t>
      </w:r>
    </w:p>
    <w:p>
      <w:pPr>
        <w:pStyle w:val="Heading3"/>
        <w:spacing w:after="120" w:before="240"/>
      </w:pPr>
      <w:r>
        <w:rPr>
          <w:rFonts w:ascii="Times New Roman" w:hAnsi="Times New Roman"/>
          <w:b/>
          <w:color w:val="1F3964"/>
          <w:sz w:val="26"/>
        </w:rPr>
        <w:t>4.2 Item Pass/Fail Criteria</w:t>
      </w:r>
    </w:p>
    <w:p>
      <w:pPr>
        <w:spacing w:line="276" w:lineRule="auto" w:after="160"/>
      </w:pPr>
      <w:r>
        <w:rPr>
          <w:rFonts w:ascii="Times New Roman" w:hAnsi="Times New Roman"/>
          <w:b w:val="0"/>
          <w:i w:val="0"/>
          <w:sz w:val="24"/>
        </w:rPr>
        <w:t>To determine the success of an implemented feature, the following criteria are strictly applied:</w:t>
      </w:r>
    </w:p>
    <w:p>
      <w:pPr>
        <w:spacing w:line="276" w:lineRule="auto" w:after="160"/>
      </w:pPr>
      <w:r>
        <w:rPr>
          <w:rFonts w:ascii="Times New Roman" w:hAnsi="Times New Roman"/>
          <w:b w:val="0"/>
          <w:i w:val="0"/>
          <w:sz w:val="24"/>
        </w:rPr>
        <w:t>• Pass Criteria: The module executes without throwing unhandled exceptions. Expected database states (e.g., test runs recorded, specs parsed) exactly match the actual database state. Unit tests pass with a 0 exit code. For AI features, the mock engine completes the execution loop successfully.</w:t>
      </w:r>
    </w:p>
    <w:p>
      <w:pPr>
        <w:spacing w:line="276" w:lineRule="auto" w:after="160"/>
      </w:pPr>
      <w:r>
        <w:rPr>
          <w:rFonts w:ascii="Times New Roman" w:hAnsi="Times New Roman"/>
          <w:b w:val="0"/>
          <w:i w:val="0"/>
          <w:sz w:val="24"/>
        </w:rPr>
        <w:t>• Fail Criteria: The application crashes or hangs indefinitely (e.g., polling fails to terminate). Data corruption occurs. Unauthorized roles successfully access restricted endpoints. The UI fails to reflect the underlying state (e.g., test finishes but graph remains spinning).</w:t>
      </w:r>
    </w:p>
    <w:p>
      <w:pPr>
        <w:pStyle w:val="Heading3"/>
        <w:spacing w:after="120" w:before="240"/>
      </w:pPr>
      <w:r>
        <w:rPr>
          <w:rFonts w:ascii="Times New Roman" w:hAnsi="Times New Roman"/>
          <w:b/>
          <w:color w:val="1F3964"/>
          <w:sz w:val="26"/>
        </w:rPr>
        <w:t>4.3 Risks and Contingencies</w:t>
      </w:r>
    </w:p>
    <w:tbl>
      <w:tblPr>
        <w:tblStyle w:val="TableGrid"/>
        <w:tblW w:type="auto" w:w="0"/>
        <w:tblLayout w:type="fixed"/>
        <w:tblLook w:firstColumn="1" w:firstRow="1" w:lastColumn="0" w:lastRow="0" w:noHBand="0" w:noVBand="1" w:val="04A0"/>
      </w:tblPr>
      <w:tblGrid>
        <w:gridCol w:w="2160"/>
        <w:gridCol w:w="3168"/>
        <w:gridCol w:w="4032"/>
      </w:tblGrid>
      <w:tr>
        <w:tc>
          <w:tcPr>
            <w:tcW w:type="dxa" w:w="2160"/>
            <w:shd w:fill="F2F2F2"/>
          </w:tcPr>
          <w:p>
            <w:pPr>
              <w:jc w:val="left"/>
            </w:pPr>
            <w:r>
              <w:rPr>
                <w:rFonts w:ascii="Times New Roman" w:hAnsi="Times New Roman"/>
                <w:b/>
                <w:sz w:val="22"/>
              </w:rPr>
              <w:t>Risk Identified</w:t>
            </w:r>
          </w:p>
        </w:tc>
        <w:tc>
          <w:tcPr>
            <w:tcW w:type="dxa" w:w="3168"/>
            <w:shd w:fill="F2F2F2"/>
          </w:tcPr>
          <w:p>
            <w:pPr>
              <w:jc w:val="left"/>
            </w:pPr>
            <w:r>
              <w:rPr>
                <w:rFonts w:ascii="Times New Roman" w:hAnsi="Times New Roman"/>
                <w:b/>
                <w:sz w:val="22"/>
              </w:rPr>
              <w:t>Impact</w:t>
            </w:r>
          </w:p>
        </w:tc>
        <w:tc>
          <w:tcPr>
            <w:tcW w:type="dxa" w:w="4032"/>
            <w:shd w:fill="F2F2F2"/>
          </w:tcPr>
          <w:p>
            <w:pPr>
              <w:jc w:val="left"/>
            </w:pPr>
            <w:r>
              <w:rPr>
                <w:rFonts w:ascii="Times New Roman" w:hAnsi="Times New Roman"/>
                <w:b/>
                <w:sz w:val="22"/>
              </w:rPr>
              <w:t>Contingency Plan</w:t>
            </w:r>
          </w:p>
        </w:tc>
      </w:tr>
      <w:tr>
        <w:tc>
          <w:tcPr>
            <w:tcW w:type="dxa" w:w="2160"/>
          </w:tcPr>
          <w:p>
            <w:pPr>
              <w:jc w:val="left"/>
            </w:pPr>
            <w:r>
              <w:rPr>
                <w:rFonts w:ascii="Times New Roman" w:hAnsi="Times New Roman"/>
                <w:sz w:val="22"/>
              </w:rPr>
              <w:t>LLM Non-Determinism</w:t>
            </w:r>
          </w:p>
        </w:tc>
        <w:tc>
          <w:tcPr>
            <w:tcW w:type="dxa" w:w="3168"/>
          </w:tcPr>
          <w:p>
            <w:pPr>
              <w:jc w:val="left"/>
            </w:pPr>
            <w:r>
              <w:rPr>
                <w:rFonts w:ascii="Times New Roman" w:hAnsi="Times New Roman"/>
                <w:sz w:val="22"/>
              </w:rPr>
              <w:t>Automated tests relying on live LLM outputs may randomly fail due to varied responses.</w:t>
            </w:r>
          </w:p>
        </w:tc>
        <w:tc>
          <w:tcPr>
            <w:tcW w:type="dxa" w:w="4032"/>
          </w:tcPr>
          <w:p>
            <w:pPr>
              <w:jc w:val="left"/>
            </w:pPr>
            <w:r>
              <w:rPr>
                <w:rFonts w:ascii="Times New Roman" w:hAnsi="Times New Roman"/>
                <w:sz w:val="22"/>
              </w:rPr>
              <w:t>Utilize ENGINE_MODE=mock during testing to inject static, predictable JSON responses in place of live LLM generation.</w:t>
            </w:r>
          </w:p>
        </w:tc>
      </w:tr>
      <w:tr>
        <w:tc>
          <w:tcPr>
            <w:tcW w:type="dxa" w:w="2160"/>
          </w:tcPr>
          <w:p>
            <w:pPr>
              <w:jc w:val="left"/>
            </w:pPr>
            <w:r>
              <w:rPr>
                <w:rFonts w:ascii="Times New Roman" w:hAnsi="Times New Roman"/>
                <w:sz w:val="22"/>
              </w:rPr>
              <w:t>Large Graph Rendering</w:t>
            </w:r>
          </w:p>
        </w:tc>
        <w:tc>
          <w:tcPr>
            <w:tcW w:type="dxa" w:w="3168"/>
          </w:tcPr>
          <w:p>
            <w:pPr>
              <w:jc w:val="left"/>
            </w:pPr>
            <w:r>
              <w:rPr>
                <w:rFonts w:ascii="Times New Roman" w:hAnsi="Times New Roman"/>
                <w:sz w:val="22"/>
              </w:rPr>
              <w:t>Cytoscape canvas may freeze the browser when rendering a massive enterprise API.</w:t>
            </w:r>
          </w:p>
        </w:tc>
        <w:tc>
          <w:tcPr>
            <w:tcW w:type="dxa" w:w="4032"/>
          </w:tcPr>
          <w:p>
            <w:pPr>
              <w:jc w:val="left"/>
            </w:pPr>
            <w:r>
              <w:rPr>
                <w:rFonts w:ascii="Times New Roman" w:hAnsi="Times New Roman"/>
                <w:sz w:val="22"/>
              </w:rPr>
              <w:t>Implement strict node-limits and utilize the Focus View to only render a 3-column subset of active nodes at any given time.</w:t>
            </w:r>
          </w:p>
        </w:tc>
      </w:tr>
      <w:tr>
        <w:tc>
          <w:tcPr>
            <w:tcW w:type="dxa" w:w="2160"/>
          </w:tcPr>
          <w:p>
            <w:pPr>
              <w:jc w:val="left"/>
            </w:pPr>
            <w:r>
              <w:rPr>
                <w:rFonts w:ascii="Times New Roman" w:hAnsi="Times New Roman"/>
                <w:sz w:val="22"/>
              </w:rPr>
              <w:t>Polling Timeouts</w:t>
            </w:r>
          </w:p>
        </w:tc>
        <w:tc>
          <w:tcPr>
            <w:tcW w:type="dxa" w:w="3168"/>
          </w:tcPr>
          <w:p>
            <w:pPr>
              <w:jc w:val="left"/>
            </w:pPr>
            <w:r>
              <w:rPr>
                <w:rFonts w:ascii="Times New Roman" w:hAnsi="Times New Roman"/>
                <w:sz w:val="22"/>
              </w:rPr>
              <w:t>AI generation takes too long, causing the frontend to time out and display an error.</w:t>
            </w:r>
          </w:p>
        </w:tc>
        <w:tc>
          <w:tcPr>
            <w:tcW w:type="dxa" w:w="4032"/>
          </w:tcPr>
          <w:p>
            <w:pPr>
              <w:jc w:val="left"/>
            </w:pPr>
            <w:r>
              <w:rPr>
                <w:rFonts w:ascii="Times New Roman" w:hAnsi="Times New Roman"/>
                <w:sz w:val="22"/>
              </w:rPr>
              <w:t>Implement background job tracking. The frontend polls for status without holding an open connection, timing out gracefully if the engine halts.</w:t>
            </w:r>
          </w:p>
        </w:tc>
      </w:tr>
    </w:tbl>
    <w:p>
      <w:pPr>
        <w:spacing w:line="276" w:lineRule="auto" w:after="160"/>
      </w:pPr>
      <w:r>
        <w:rPr>
          <w:rFonts w:ascii="Times New Roman" w:hAnsi="Times New Roman"/>
          <w:b w:val="0"/>
          <w:i w:val="0"/>
          <w:sz w:val="24"/>
        </w:rPr>
      </w:r>
    </w:p>
    <w:p>
      <w:pPr>
        <w:pStyle w:val="Heading3"/>
        <w:spacing w:after="120" w:before="240"/>
      </w:pPr>
      <w:r>
        <w:rPr>
          <w:rFonts w:ascii="Times New Roman" w:hAnsi="Times New Roman"/>
          <w:b/>
          <w:color w:val="1F3964"/>
          <w:sz w:val="26"/>
        </w:rPr>
        <w:t>4.4 Test Cases with Detailed Outcomes</w:t>
      </w:r>
    </w:p>
    <w:p>
      <w:pPr>
        <w:spacing w:line="276" w:lineRule="auto" w:after="160"/>
      </w:pPr>
      <w:r>
        <w:rPr>
          <w:rFonts w:ascii="Times New Roman" w:hAnsi="Times New Roman"/>
          <w:b w:val="0"/>
          <w:i w:val="0"/>
          <w:sz w:val="24"/>
        </w:rPr>
        <w:t>The table below details core integration and manual test cases executed against the platform.</w:t>
      </w:r>
    </w:p>
    <w:tbl>
      <w:tblPr>
        <w:tblStyle w:val="TableGrid"/>
        <w:tblW w:type="auto" w:w="0"/>
        <w:tblLayout w:type="fixed"/>
        <w:tblLook w:firstColumn="1" w:firstRow="1" w:lastColumn="0" w:lastRow="0" w:noHBand="0" w:noVBand="1" w:val="04A0"/>
      </w:tblPr>
      <w:tblGrid>
        <w:gridCol w:w="1152"/>
        <w:gridCol w:w="2880"/>
        <w:gridCol w:w="2880"/>
        <w:gridCol w:w="2448"/>
      </w:tblGrid>
      <w:tr>
        <w:tc>
          <w:tcPr>
            <w:tcW w:type="dxa" w:w="1152"/>
            <w:shd w:fill="F2F2F2"/>
          </w:tcPr>
          <w:p>
            <w:pPr>
              <w:jc w:val="left"/>
            </w:pPr>
            <w:r>
              <w:rPr>
                <w:rFonts w:ascii="Times New Roman" w:hAnsi="Times New Roman"/>
                <w:b/>
                <w:sz w:val="22"/>
              </w:rPr>
              <w:t>Test ID</w:t>
            </w:r>
          </w:p>
        </w:tc>
        <w:tc>
          <w:tcPr>
            <w:tcW w:type="dxa" w:w="2880"/>
            <w:shd w:fill="F2F2F2"/>
          </w:tcPr>
          <w:p>
            <w:pPr>
              <w:jc w:val="left"/>
            </w:pPr>
            <w:r>
              <w:rPr>
                <w:rFonts w:ascii="Times New Roman" w:hAnsi="Times New Roman"/>
                <w:b/>
                <w:sz w:val="22"/>
              </w:rPr>
              <w:t>Test Description (Scenario)</w:t>
            </w:r>
          </w:p>
        </w:tc>
        <w:tc>
          <w:tcPr>
            <w:tcW w:type="dxa" w:w="2880"/>
            <w:shd w:fill="F2F2F2"/>
          </w:tcPr>
          <w:p>
            <w:pPr>
              <w:jc w:val="left"/>
            </w:pPr>
            <w:r>
              <w:rPr>
                <w:rFonts w:ascii="Times New Roman" w:hAnsi="Times New Roman"/>
                <w:b/>
                <w:sz w:val="22"/>
              </w:rPr>
              <w:t>Expected Outcome</w:t>
            </w:r>
          </w:p>
        </w:tc>
        <w:tc>
          <w:tcPr>
            <w:tcW w:type="dxa" w:w="2448"/>
            <w:shd w:fill="F2F2F2"/>
          </w:tcPr>
          <w:p>
            <w:pPr>
              <w:jc w:val="left"/>
            </w:pPr>
            <w:r>
              <w:rPr>
                <w:rFonts w:ascii="Times New Roman" w:hAnsi="Times New Roman"/>
                <w:b/>
                <w:sz w:val="22"/>
              </w:rPr>
              <w:t>Actual Outcome</w:t>
            </w:r>
          </w:p>
        </w:tc>
      </w:tr>
      <w:tr>
        <w:tc>
          <w:tcPr>
            <w:tcW w:type="dxa" w:w="1152"/>
          </w:tcPr>
          <w:p>
            <w:pPr>
              <w:jc w:val="left"/>
            </w:pPr>
            <w:r>
              <w:rPr>
                <w:rFonts w:ascii="Times New Roman" w:hAnsi="Times New Roman"/>
                <w:sz w:val="22"/>
              </w:rPr>
              <w:t>TC-01</w:t>
            </w:r>
          </w:p>
        </w:tc>
        <w:tc>
          <w:tcPr>
            <w:tcW w:type="dxa" w:w="2880"/>
          </w:tcPr>
          <w:p>
            <w:pPr>
              <w:jc w:val="left"/>
            </w:pPr>
            <w:r>
              <w:rPr>
                <w:rFonts w:ascii="Times New Roman" w:hAnsi="Times New Roman"/>
                <w:sz w:val="22"/>
              </w:rPr>
              <w:t>User Registration OTP Verification: Submit valid registration, retrieve OTP, submit verification.</w:t>
            </w:r>
          </w:p>
        </w:tc>
        <w:tc>
          <w:tcPr>
            <w:tcW w:type="dxa" w:w="2880"/>
          </w:tcPr>
          <w:p>
            <w:pPr>
              <w:jc w:val="left"/>
            </w:pPr>
            <w:r>
              <w:rPr>
                <w:rFonts w:ascii="Times New Roman" w:hAnsi="Times New Roman"/>
                <w:sz w:val="22"/>
              </w:rPr>
              <w:t>User is successfully created, token stored, redirected to Dashboard.</w:t>
            </w:r>
          </w:p>
        </w:tc>
        <w:tc>
          <w:tcPr>
            <w:tcW w:type="dxa" w:w="2448"/>
          </w:tcPr>
          <w:p>
            <w:pPr>
              <w:jc w:val="left"/>
            </w:pPr>
            <w:r>
              <w:rPr>
                <w:rFonts w:ascii="Times New Roman" w:hAnsi="Times New Roman"/>
                <w:sz w:val="22"/>
              </w:rPr>
              <w:t>Pass</w:t>
            </w:r>
          </w:p>
        </w:tc>
      </w:tr>
      <w:tr>
        <w:tc>
          <w:tcPr>
            <w:tcW w:type="dxa" w:w="1152"/>
          </w:tcPr>
          <w:p>
            <w:pPr>
              <w:jc w:val="left"/>
            </w:pPr>
            <w:r>
              <w:rPr>
                <w:rFonts w:ascii="Times New Roman" w:hAnsi="Times New Roman"/>
                <w:sz w:val="22"/>
              </w:rPr>
              <w:t>TC-02</w:t>
            </w:r>
          </w:p>
        </w:tc>
        <w:tc>
          <w:tcPr>
            <w:tcW w:type="dxa" w:w="2880"/>
          </w:tcPr>
          <w:p>
            <w:pPr>
              <w:jc w:val="left"/>
            </w:pPr>
            <w:r>
              <w:rPr>
                <w:rFonts w:ascii="Times New Roman" w:hAnsi="Times New Roman"/>
                <w:sz w:val="22"/>
              </w:rPr>
              <w:t>Spec Parsing: Upload standard OpenAPI 3.0 YAML file to a project.</w:t>
            </w:r>
          </w:p>
        </w:tc>
        <w:tc>
          <w:tcPr>
            <w:tcW w:type="dxa" w:w="2880"/>
          </w:tcPr>
          <w:p>
            <w:pPr>
              <w:jc w:val="left"/>
            </w:pPr>
            <w:r>
              <w:rPr>
                <w:rFonts w:ascii="Times New Roman" w:hAnsi="Times New Roman"/>
                <w:sz w:val="22"/>
              </w:rPr>
              <w:t>Parser successfully extracts all endpoints into database and mounts them in the UI.</w:t>
            </w:r>
          </w:p>
        </w:tc>
        <w:tc>
          <w:tcPr>
            <w:tcW w:type="dxa" w:w="2448"/>
          </w:tcPr>
          <w:p>
            <w:pPr>
              <w:jc w:val="left"/>
            </w:pPr>
            <w:r>
              <w:rPr>
                <w:rFonts w:ascii="Times New Roman" w:hAnsi="Times New Roman"/>
                <w:sz w:val="22"/>
              </w:rPr>
              <w:t>Pass</w:t>
            </w:r>
          </w:p>
        </w:tc>
      </w:tr>
      <w:tr>
        <w:tc>
          <w:tcPr>
            <w:tcW w:type="dxa" w:w="1152"/>
          </w:tcPr>
          <w:p>
            <w:pPr>
              <w:jc w:val="left"/>
            </w:pPr>
            <w:r>
              <w:rPr>
                <w:rFonts w:ascii="Times New Roman" w:hAnsi="Times New Roman"/>
                <w:sz w:val="22"/>
              </w:rPr>
              <w:t>TC-03</w:t>
            </w:r>
          </w:p>
        </w:tc>
        <w:tc>
          <w:tcPr>
            <w:tcW w:type="dxa" w:w="2880"/>
          </w:tcPr>
          <w:p>
            <w:pPr>
              <w:jc w:val="left"/>
            </w:pPr>
            <w:r>
              <w:rPr>
                <w:rFonts w:ascii="Times New Roman" w:hAnsi="Times New Roman"/>
                <w:sz w:val="22"/>
              </w:rPr>
              <w:t>RBAC Tester Restriction: User with 'Tester' role attempts to delete an endpoint.</w:t>
            </w:r>
          </w:p>
        </w:tc>
        <w:tc>
          <w:tcPr>
            <w:tcW w:type="dxa" w:w="2880"/>
          </w:tcPr>
          <w:p>
            <w:pPr>
              <w:jc w:val="left"/>
            </w:pPr>
            <w:r>
              <w:rPr>
                <w:rFonts w:ascii="Times New Roman" w:hAnsi="Times New Roman"/>
                <w:sz w:val="22"/>
              </w:rPr>
              <w:t>Backend returns 403 Forbidden. Frontend hides delete button.</w:t>
            </w:r>
          </w:p>
        </w:tc>
        <w:tc>
          <w:tcPr>
            <w:tcW w:type="dxa" w:w="2448"/>
          </w:tcPr>
          <w:p>
            <w:pPr>
              <w:jc w:val="left"/>
            </w:pPr>
            <w:r>
              <w:rPr>
                <w:rFonts w:ascii="Times New Roman" w:hAnsi="Times New Roman"/>
                <w:sz w:val="22"/>
              </w:rPr>
              <w:t>Pass</w:t>
            </w:r>
          </w:p>
        </w:tc>
      </w:tr>
      <w:tr>
        <w:tc>
          <w:tcPr>
            <w:tcW w:type="dxa" w:w="1152"/>
          </w:tcPr>
          <w:p>
            <w:pPr>
              <w:jc w:val="left"/>
            </w:pPr>
            <w:r>
              <w:rPr>
                <w:rFonts w:ascii="Times New Roman" w:hAnsi="Times New Roman"/>
                <w:sz w:val="22"/>
              </w:rPr>
              <w:t>TC-04</w:t>
            </w:r>
          </w:p>
        </w:tc>
        <w:tc>
          <w:tcPr>
            <w:tcW w:type="dxa" w:w="2880"/>
          </w:tcPr>
          <w:p>
            <w:pPr>
              <w:jc w:val="left"/>
            </w:pPr>
            <w:r>
              <w:rPr>
                <w:rFonts w:ascii="Times New Roman" w:hAnsi="Times New Roman"/>
                <w:sz w:val="22"/>
              </w:rPr>
              <w:t>Graph Build Execution: Trigger a dependency graph build on 100+ endpoints.</w:t>
            </w:r>
          </w:p>
        </w:tc>
        <w:tc>
          <w:tcPr>
            <w:tcW w:type="dxa" w:w="2880"/>
          </w:tcPr>
          <w:p>
            <w:pPr>
              <w:jc w:val="left"/>
            </w:pPr>
            <w:r>
              <w:rPr>
                <w:rFonts w:ascii="Times New Roman" w:hAnsi="Times New Roman"/>
                <w:sz w:val="22"/>
              </w:rPr>
              <w:t>Engine resolves embeddings, UI polls until completion, canvas renders successfully.</w:t>
            </w:r>
          </w:p>
        </w:tc>
        <w:tc>
          <w:tcPr>
            <w:tcW w:type="dxa" w:w="2448"/>
          </w:tcPr>
          <w:p>
            <w:pPr>
              <w:jc w:val="left"/>
            </w:pPr>
            <w:r>
              <w:rPr>
                <w:rFonts w:ascii="Times New Roman" w:hAnsi="Times New Roman"/>
                <w:sz w:val="22"/>
              </w:rPr>
              <w:t>Pass</w:t>
            </w:r>
          </w:p>
        </w:tc>
      </w:tr>
      <w:tr>
        <w:tc>
          <w:tcPr>
            <w:tcW w:type="dxa" w:w="1152"/>
          </w:tcPr>
          <w:p>
            <w:pPr>
              <w:jc w:val="left"/>
            </w:pPr>
            <w:r>
              <w:rPr>
                <w:rFonts w:ascii="Times New Roman" w:hAnsi="Times New Roman"/>
                <w:sz w:val="22"/>
              </w:rPr>
              <w:t>TC-05</w:t>
            </w:r>
          </w:p>
        </w:tc>
        <w:tc>
          <w:tcPr>
            <w:tcW w:type="dxa" w:w="2880"/>
          </w:tcPr>
          <w:p>
            <w:pPr>
              <w:jc w:val="left"/>
            </w:pPr>
            <w:r>
              <w:rPr>
                <w:rFonts w:ascii="Times New Roman" w:hAnsi="Times New Roman"/>
                <w:sz w:val="22"/>
              </w:rPr>
              <w:t>Live Test Execution: Trigger MARL test suite generation on mock target.</w:t>
            </w:r>
          </w:p>
        </w:tc>
        <w:tc>
          <w:tcPr>
            <w:tcW w:type="dxa" w:w="2880"/>
          </w:tcPr>
          <w:p>
            <w:pPr>
              <w:jc w:val="left"/>
            </w:pPr>
            <w:r>
              <w:rPr>
                <w:rFonts w:ascii="Times New Roman" w:hAnsi="Times New Roman"/>
                <w:sz w:val="22"/>
              </w:rPr>
              <w:t>Status updates to 'Running', timeline streams passes/fails, final report is generated.</w:t>
            </w:r>
          </w:p>
        </w:tc>
        <w:tc>
          <w:tcPr>
            <w:tcW w:type="dxa" w:w="2448"/>
          </w:tcPr>
          <w:p>
            <w:pPr>
              <w:jc w:val="left"/>
            </w:pPr>
            <w:r>
              <w:rPr>
                <w:rFonts w:ascii="Times New Roman" w:hAnsi="Times New Roman"/>
                <w:sz w:val="22"/>
              </w:rPr>
              <w:t>Pass</w:t>
            </w:r>
          </w:p>
        </w:tc>
      </w:tr>
      <w:tr>
        <w:tc>
          <w:tcPr>
            <w:tcW w:type="dxa" w:w="1152"/>
          </w:tcPr>
          <w:p>
            <w:pPr>
              <w:jc w:val="left"/>
            </w:pPr>
            <w:r>
              <w:rPr>
                <w:rFonts w:ascii="Times New Roman" w:hAnsi="Times New Roman"/>
                <w:sz w:val="22"/>
              </w:rPr>
              <w:t>TC-06</w:t>
            </w:r>
          </w:p>
        </w:tc>
        <w:tc>
          <w:tcPr>
            <w:tcW w:type="dxa" w:w="2880"/>
          </w:tcPr>
          <w:p>
            <w:pPr>
              <w:jc w:val="left"/>
            </w:pPr>
            <w:r>
              <w:rPr>
                <w:rFonts w:ascii="Times New Roman" w:hAnsi="Times New Roman"/>
                <w:sz w:val="22"/>
              </w:rPr>
              <w:t>LLM Failure Explanation: Click 'AI Explain' on a failed HTTP request log.</w:t>
            </w:r>
          </w:p>
        </w:tc>
        <w:tc>
          <w:tcPr>
            <w:tcW w:type="dxa" w:w="2880"/>
          </w:tcPr>
          <w:p>
            <w:pPr>
              <w:jc w:val="left"/>
            </w:pPr>
            <w:r>
              <w:rPr>
                <w:rFonts w:ascii="Times New Roman" w:hAnsi="Times New Roman"/>
                <w:sz w:val="22"/>
              </w:rPr>
              <w:t>System prompts LLM with request/response context; plain text explanation streams to UI.</w:t>
            </w:r>
          </w:p>
        </w:tc>
        <w:tc>
          <w:tcPr>
            <w:tcW w:type="dxa" w:w="2448"/>
          </w:tcPr>
          <w:p>
            <w:pPr>
              <w:jc w:val="left"/>
            </w:pPr>
            <w:r>
              <w:rPr>
                <w:rFonts w:ascii="Times New Roman" w:hAnsi="Times New Roman"/>
                <w:sz w:val="22"/>
              </w:rPr>
              <w:t>Pass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