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20" w:before="240"/>
      </w:pPr>
      <w:r>
        <w:rPr>
          <w:rFonts w:ascii="Times New Roman" w:hAnsi="Times New Roman"/>
          <w:b/>
          <w:color w:val="1F3964"/>
          <w:sz w:val="32"/>
        </w:rPr>
        <w:t>5. Component-Level Design</w:t>
      </w:r>
    </w:p>
    <w:p>
      <w:pPr>
        <w:pStyle w:val="Heading2"/>
        <w:spacing w:after="120" w:before="240"/>
      </w:pPr>
      <w:r>
        <w:rPr>
          <w:rFonts w:ascii="Times New Roman" w:hAnsi="Times New Roman"/>
          <w:b/>
          <w:color w:val="1F3964"/>
          <w:sz w:val="28"/>
        </w:rPr>
        <w:t>5.1 Design Classes and Problem Domain Mapping</w:t>
      </w:r>
    </w:p>
    <w:p>
      <w:pPr>
        <w:spacing w:line="276" w:lineRule="auto" w:after="160"/>
      </w:pPr>
      <w:r>
        <w:rPr>
          <w:rFonts w:ascii="Times New Roman" w:hAnsi="Times New Roman"/>
          <w:b w:val="0"/>
          <w:i w:val="0"/>
          <w:sz w:val="24"/>
        </w:rPr>
        <w:t>AutoRestTest is organized into modular backend services, database models, and intelligent engine components, each addressing a distinct problem domain in automated REST API testing. The table below illustrates how the core problem domain concepts map directly to their exact design classes in the codebase and their respective system responsibilities:</w:t>
      </w:r>
    </w:p>
    <w:p>
      <w:pPr>
        <w:spacing w:line="276" w:lineRule="auto" w:after="160"/>
      </w:pPr>
      <w:r>
        <w:rPr>
          <w:rFonts w:ascii="Times New Roman" w:hAnsi="Times New Roman"/>
          <w:b w:val="0"/>
          <w:i/>
          <w:sz w:val="24"/>
        </w:rPr>
        <w:t>Table 5.1: Problem Domain to Design Class Mapping</w:t>
      </w:r>
    </w:p>
    <w:tbl>
      <w:tblPr>
        <w:tblStyle w:val="TableGrid"/>
        <w:tblW w:type="auto" w:w="0"/>
        <w:jc w:val="center"/>
        <w:tblLayout w:type="fixed"/>
        <w:tblLook w:firstColumn="1" w:firstRow="1" w:lastColumn="0" w:lastRow="0" w:noHBand="0" w:noVBand="1" w:val="04A0"/>
      </w:tblPr>
      <w:tblGrid>
        <w:gridCol w:w="2160"/>
        <w:gridCol w:w="2880"/>
        <w:gridCol w:w="3600"/>
      </w:tblGrid>
      <w:tr>
        <w:tc>
          <w:tcPr>
            <w:tcW w:type="dxa" w:w="2160"/>
            <w:shd w:fill="F2F2F2"/>
          </w:tcPr>
          <w:p>
            <w:pPr>
              <w:jc w:val="left"/>
            </w:pPr>
            <w:r>
              <w:rPr>
                <w:rFonts w:ascii="Times New Roman" w:hAnsi="Times New Roman"/>
                <w:b/>
                <w:sz w:val="22"/>
              </w:rPr>
              <w:t>Domain Concept</w:t>
            </w:r>
          </w:p>
        </w:tc>
        <w:tc>
          <w:tcPr>
            <w:tcW w:type="dxa" w:w="2880"/>
            <w:shd w:fill="F2F2F2"/>
          </w:tcPr>
          <w:p>
            <w:pPr>
              <w:jc w:val="left"/>
            </w:pPr>
            <w:r>
              <w:rPr>
                <w:rFonts w:ascii="Times New Roman" w:hAnsi="Times New Roman"/>
                <w:b/>
                <w:sz w:val="22"/>
              </w:rPr>
              <w:t>Design Class</w:t>
            </w:r>
          </w:p>
        </w:tc>
        <w:tc>
          <w:tcPr>
            <w:tcW w:type="dxa" w:w="3600"/>
            <w:shd w:fill="F2F2F2"/>
          </w:tcPr>
          <w:p>
            <w:pPr>
              <w:jc w:val="left"/>
            </w:pPr>
            <w:r>
              <w:rPr>
                <w:rFonts w:ascii="Times New Roman" w:hAnsi="Times New Roman"/>
                <w:b/>
                <w:sz w:val="22"/>
              </w:rPr>
              <w:t>Responsibilities</w:t>
            </w:r>
          </w:p>
        </w:tc>
      </w:tr>
      <w:tr>
        <w:tc>
          <w:tcPr>
            <w:tcW w:type="dxa" w:w="2160"/>
          </w:tcPr>
          <w:p>
            <w:pPr>
              <w:jc w:val="left"/>
            </w:pPr>
            <w:r>
              <w:rPr>
                <w:rFonts w:ascii="Times New Roman" w:hAnsi="Times New Roman"/>
                <w:sz w:val="21"/>
              </w:rPr>
              <w:t>User Accounts</w:t>
            </w:r>
          </w:p>
        </w:tc>
        <w:tc>
          <w:tcPr>
            <w:tcW w:type="dxa" w:w="2880"/>
          </w:tcPr>
          <w:p>
            <w:pPr>
              <w:jc w:val="left"/>
            </w:pPr>
            <w:r>
              <w:rPr>
                <w:rFonts w:ascii="Times New Roman" w:hAnsi="Times New Roman"/>
                <w:sz w:val="21"/>
              </w:rPr>
              <w:t>User model + AuthService</w:t>
            </w:r>
          </w:p>
        </w:tc>
        <w:tc>
          <w:tcPr>
            <w:tcW w:type="dxa" w:w="3600"/>
          </w:tcPr>
          <w:p>
            <w:pPr>
              <w:jc w:val="left"/>
            </w:pPr>
            <w:r>
              <w:rPr>
                <w:rFonts w:ascii="Times New Roman" w:hAnsi="Times New Roman"/>
                <w:sz w:val="21"/>
              </w:rPr>
              <w:t>User registration, password hashing (Argon2), credential validation, and JWT session token issuance.</w:t>
            </w:r>
          </w:p>
        </w:tc>
      </w:tr>
      <w:tr>
        <w:tc>
          <w:tcPr>
            <w:tcW w:type="dxa" w:w="2160"/>
          </w:tcPr>
          <w:p>
            <w:pPr>
              <w:jc w:val="left"/>
            </w:pPr>
            <w:r>
              <w:rPr>
                <w:rFonts w:ascii="Times New Roman" w:hAnsi="Times New Roman"/>
                <w:sz w:val="21"/>
              </w:rPr>
              <w:t>Signup OTP Verification</w:t>
            </w:r>
          </w:p>
        </w:tc>
        <w:tc>
          <w:tcPr>
            <w:tcW w:type="dxa" w:w="2880"/>
          </w:tcPr>
          <w:p>
            <w:pPr>
              <w:jc w:val="left"/>
            </w:pPr>
            <w:r>
              <w:rPr>
                <w:rFonts w:ascii="Times New Roman" w:hAnsi="Times New Roman"/>
                <w:sz w:val="21"/>
              </w:rPr>
              <w:t>PendingSignup model + SignupService</w:t>
            </w:r>
          </w:p>
        </w:tc>
        <w:tc>
          <w:tcPr>
            <w:tcW w:type="dxa" w:w="3600"/>
          </w:tcPr>
          <w:p>
            <w:pPr>
              <w:jc w:val="left"/>
            </w:pPr>
            <w:r>
              <w:rPr>
                <w:rFonts w:ascii="Times New Roman" w:hAnsi="Times New Roman"/>
                <w:sz w:val="21"/>
              </w:rPr>
              <w:t>Pre-registration identity staging, 6-digit email confirmation codes, rate-limiting, and anti-squatting address protection.</w:t>
            </w:r>
          </w:p>
        </w:tc>
      </w:tr>
      <w:tr>
        <w:tc>
          <w:tcPr>
            <w:tcW w:type="dxa" w:w="2160"/>
          </w:tcPr>
          <w:p>
            <w:pPr>
              <w:jc w:val="left"/>
            </w:pPr>
            <w:r>
              <w:rPr>
                <w:rFonts w:ascii="Times New Roman" w:hAnsi="Times New Roman"/>
                <w:sz w:val="21"/>
              </w:rPr>
              <w:t>Password Recovery &amp; Tokens</w:t>
            </w:r>
          </w:p>
        </w:tc>
        <w:tc>
          <w:tcPr>
            <w:tcW w:type="dxa" w:w="2880"/>
          </w:tcPr>
          <w:p>
            <w:pPr>
              <w:jc w:val="left"/>
            </w:pPr>
            <w:r>
              <w:rPr>
                <w:rFonts w:ascii="Times New Roman" w:hAnsi="Times New Roman"/>
                <w:sz w:val="21"/>
              </w:rPr>
              <w:t>AuthToken model + TokensService</w:t>
            </w:r>
          </w:p>
        </w:tc>
        <w:tc>
          <w:tcPr>
            <w:tcW w:type="dxa" w:w="3600"/>
          </w:tcPr>
          <w:p>
            <w:pPr>
              <w:jc w:val="left"/>
            </w:pPr>
            <w:r>
              <w:rPr>
                <w:rFonts w:ascii="Times New Roman" w:hAnsi="Times New Roman"/>
                <w:sz w:val="21"/>
              </w:rPr>
              <w:t>Single-use, time-limited security token issuance, validation, and invalidation for password reset workflows.</w:t>
            </w:r>
          </w:p>
        </w:tc>
      </w:tr>
      <w:tr>
        <w:tc>
          <w:tcPr>
            <w:tcW w:type="dxa" w:w="2160"/>
          </w:tcPr>
          <w:p>
            <w:pPr>
              <w:jc w:val="left"/>
            </w:pPr>
            <w:r>
              <w:rPr>
                <w:rFonts w:ascii="Times New Roman" w:hAnsi="Times New Roman"/>
                <w:sz w:val="21"/>
              </w:rPr>
              <w:t>Transactional Email Dispatch</w:t>
            </w:r>
          </w:p>
        </w:tc>
        <w:tc>
          <w:tcPr>
            <w:tcW w:type="dxa" w:w="2880"/>
          </w:tcPr>
          <w:p>
            <w:pPr>
              <w:jc w:val="left"/>
            </w:pPr>
            <w:r>
              <w:rPr>
                <w:rFonts w:ascii="Times New Roman" w:hAnsi="Times New Roman"/>
                <w:sz w:val="21"/>
              </w:rPr>
              <w:t>EmailService</w:t>
            </w:r>
          </w:p>
        </w:tc>
        <w:tc>
          <w:tcPr>
            <w:tcW w:type="dxa" w:w="3600"/>
          </w:tcPr>
          <w:p>
            <w:pPr>
              <w:jc w:val="left"/>
            </w:pPr>
            <w:r>
              <w:rPr>
                <w:rFonts w:ascii="Times New Roman" w:hAnsi="Times New Roman"/>
                <w:sz w:val="21"/>
              </w:rPr>
              <w:t>Asynchronous dispatch of verification codes, password reset links, and collaborator invitation notifications.</w:t>
            </w:r>
          </w:p>
        </w:tc>
      </w:tr>
      <w:tr>
        <w:tc>
          <w:tcPr>
            <w:tcW w:type="dxa" w:w="2160"/>
          </w:tcPr>
          <w:p>
            <w:pPr>
              <w:jc w:val="left"/>
            </w:pPr>
            <w:r>
              <w:rPr>
                <w:rFonts w:ascii="Times New Roman" w:hAnsi="Times New Roman"/>
                <w:sz w:val="21"/>
              </w:rPr>
              <w:t>Project Workspaces</w:t>
            </w:r>
          </w:p>
        </w:tc>
        <w:tc>
          <w:tcPr>
            <w:tcW w:type="dxa" w:w="2880"/>
          </w:tcPr>
          <w:p>
            <w:pPr>
              <w:jc w:val="left"/>
            </w:pPr>
            <w:r>
              <w:rPr>
                <w:rFonts w:ascii="Times New Roman" w:hAnsi="Times New Roman"/>
                <w:sz w:val="21"/>
              </w:rPr>
              <w:t>Project model + ProjectsService</w:t>
            </w:r>
          </w:p>
        </w:tc>
        <w:tc>
          <w:tcPr>
            <w:tcW w:type="dxa" w:w="3600"/>
          </w:tcPr>
          <w:p>
            <w:pPr>
              <w:jc w:val="left"/>
            </w:pPr>
            <w:r>
              <w:rPr>
                <w:rFonts w:ascii="Times New Roman" w:hAnsi="Times New Roman"/>
                <w:sz w:val="21"/>
              </w:rPr>
              <w:t>Multi-tenant workspace partitioning, project ownership, metadata management, and cross-project data isolation.</w:t>
            </w:r>
          </w:p>
        </w:tc>
      </w:tr>
      <w:tr>
        <w:tc>
          <w:tcPr>
            <w:tcW w:type="dxa" w:w="2160"/>
          </w:tcPr>
          <w:p>
            <w:pPr>
              <w:jc w:val="left"/>
            </w:pPr>
            <w:r>
              <w:rPr>
                <w:rFonts w:ascii="Times New Roman" w:hAnsi="Times New Roman"/>
                <w:sz w:val="21"/>
              </w:rPr>
              <w:t>Role-Based Access Control</w:t>
            </w:r>
          </w:p>
        </w:tc>
        <w:tc>
          <w:tcPr>
            <w:tcW w:type="dxa" w:w="2880"/>
          </w:tcPr>
          <w:p>
            <w:pPr>
              <w:jc w:val="left"/>
            </w:pPr>
            <w:r>
              <w:rPr>
                <w:rFonts w:ascii="Times New Roman" w:hAnsi="Times New Roman"/>
                <w:sz w:val="21"/>
              </w:rPr>
              <w:t>ProjectMember model + MembersService + ProjectAccessService</w:t>
            </w:r>
          </w:p>
        </w:tc>
        <w:tc>
          <w:tcPr>
            <w:tcW w:type="dxa" w:w="3600"/>
          </w:tcPr>
          <w:p>
            <w:pPr>
              <w:jc w:val="left"/>
            </w:pPr>
            <w:r>
              <w:rPr>
                <w:rFonts w:ascii="Times New Roman" w:hAnsi="Times New Roman"/>
                <w:sz w:val="21"/>
              </w:rPr>
              <w:t>Granular permission enforcement (admin, tester, viewer) guarding endpoints, test execution, and project settings.</w:t>
            </w:r>
          </w:p>
        </w:tc>
      </w:tr>
      <w:tr>
        <w:tc>
          <w:tcPr>
            <w:tcW w:type="dxa" w:w="2160"/>
          </w:tcPr>
          <w:p>
            <w:pPr>
              <w:jc w:val="left"/>
            </w:pPr>
            <w:r>
              <w:rPr>
                <w:rFonts w:ascii="Times New Roman" w:hAnsi="Times New Roman"/>
                <w:sz w:val="21"/>
              </w:rPr>
              <w:t>Collaborator Invitations</w:t>
            </w:r>
          </w:p>
        </w:tc>
        <w:tc>
          <w:tcPr>
            <w:tcW w:type="dxa" w:w="2880"/>
          </w:tcPr>
          <w:p>
            <w:pPr>
              <w:jc w:val="left"/>
            </w:pPr>
            <w:r>
              <w:rPr>
                <w:rFonts w:ascii="Times New Roman" w:hAnsi="Times New Roman"/>
                <w:sz w:val="21"/>
              </w:rPr>
              <w:t>ProjectInvitation model + InvitationsService</w:t>
            </w:r>
          </w:p>
        </w:tc>
        <w:tc>
          <w:tcPr>
            <w:tcW w:type="dxa" w:w="3600"/>
          </w:tcPr>
          <w:p>
            <w:pPr>
              <w:jc w:val="left"/>
            </w:pPr>
            <w:r>
              <w:rPr>
                <w:rFonts w:ascii="Times New Roman" w:hAnsi="Times New Roman"/>
                <w:sz w:val="21"/>
              </w:rPr>
              <w:t>Secure tokenized email invitations, role pre-assignment, and acceptance/revocation lifecycle tracking.</w:t>
            </w:r>
          </w:p>
        </w:tc>
      </w:tr>
      <w:tr>
        <w:tc>
          <w:tcPr>
            <w:tcW w:type="dxa" w:w="2160"/>
          </w:tcPr>
          <w:p>
            <w:pPr>
              <w:jc w:val="left"/>
            </w:pPr>
            <w:r>
              <w:rPr>
                <w:rFonts w:ascii="Times New Roman" w:hAnsi="Times New Roman"/>
                <w:sz w:val="21"/>
              </w:rPr>
              <w:t>Specification Ingestion</w:t>
            </w:r>
          </w:p>
        </w:tc>
        <w:tc>
          <w:tcPr>
            <w:tcW w:type="dxa" w:w="2880"/>
          </w:tcPr>
          <w:p>
            <w:pPr>
              <w:jc w:val="left"/>
            </w:pPr>
            <w:r>
              <w:rPr>
                <w:rFonts w:ascii="Times New Roman" w:hAnsi="Times New Roman"/>
                <w:sz w:val="21"/>
              </w:rPr>
              <w:t>ApiSpecification model + SpecsService + SpecificationParser</w:t>
            </w:r>
          </w:p>
        </w:tc>
        <w:tc>
          <w:tcPr>
            <w:tcW w:type="dxa" w:w="3600"/>
          </w:tcPr>
          <w:p>
            <w:pPr>
              <w:jc w:val="left"/>
            </w:pPr>
            <w:r>
              <w:rPr>
                <w:rFonts w:ascii="Times New Roman" w:hAnsi="Times New Roman"/>
                <w:sz w:val="21"/>
              </w:rPr>
              <w:t>OpenAPI 3.0 parsing (JSON/YAML), circular reference resolution (prance), schema validation, and specification updates.</w:t>
            </w:r>
          </w:p>
        </w:tc>
      </w:tr>
      <w:tr>
        <w:tc>
          <w:tcPr>
            <w:tcW w:type="dxa" w:w="2160"/>
          </w:tcPr>
          <w:p>
            <w:pPr>
              <w:jc w:val="left"/>
            </w:pPr>
            <w:r>
              <w:rPr>
                <w:rFonts w:ascii="Times New Roman" w:hAnsi="Times New Roman"/>
                <w:sz w:val="21"/>
              </w:rPr>
              <w:t>AI Spec Generation</w:t>
            </w:r>
          </w:p>
        </w:tc>
        <w:tc>
          <w:tcPr>
            <w:tcW w:type="dxa" w:w="2880"/>
          </w:tcPr>
          <w:p>
            <w:pPr>
              <w:jc w:val="left"/>
            </w:pPr>
            <w:r>
              <w:rPr>
                <w:rFonts w:ascii="Times New Roman" w:hAnsi="Times New Roman"/>
                <w:sz w:val="21"/>
              </w:rPr>
              <w:t>SpecGeneration model + SpecGenerationService + GenerationManager</w:t>
            </w:r>
          </w:p>
        </w:tc>
        <w:tc>
          <w:tcPr>
            <w:tcW w:type="dxa" w:w="3600"/>
          </w:tcPr>
          <w:p>
            <w:pPr>
              <w:jc w:val="left"/>
            </w:pPr>
            <w:r>
              <w:rPr>
                <w:rFonts w:ascii="Times New Roman" w:hAnsi="Times New Roman"/>
                <w:sz w:val="21"/>
              </w:rPr>
              <w:t>Source code archive staging, OOPS LLM extraction orchestration, OpenAPI schema generation, and staging review/apply workflow.</w:t>
            </w:r>
          </w:p>
        </w:tc>
      </w:tr>
      <w:tr>
        <w:tc>
          <w:tcPr>
            <w:tcW w:type="dxa" w:w="2160"/>
          </w:tcPr>
          <w:p>
            <w:pPr>
              <w:jc w:val="left"/>
            </w:pPr>
            <w:r>
              <w:rPr>
                <w:rFonts w:ascii="Times New Roman" w:hAnsi="Times New Roman"/>
                <w:sz w:val="21"/>
              </w:rPr>
              <w:t>API Endpoints &amp; Schemas</w:t>
            </w:r>
          </w:p>
        </w:tc>
        <w:tc>
          <w:tcPr>
            <w:tcW w:type="dxa" w:w="2880"/>
          </w:tcPr>
          <w:p>
            <w:pPr>
              <w:jc w:val="left"/>
            </w:pPr>
            <w:r>
              <w:rPr>
                <w:rFonts w:ascii="Times New Roman" w:hAnsi="Times New Roman"/>
                <w:sz w:val="21"/>
              </w:rPr>
              <w:t>Endpoint model + EndpointsService</w:t>
            </w:r>
          </w:p>
        </w:tc>
        <w:tc>
          <w:tcPr>
            <w:tcW w:type="dxa" w:w="3600"/>
          </w:tcPr>
          <w:p>
            <w:pPr>
              <w:jc w:val="left"/>
            </w:pPr>
            <w:r>
              <w:rPr>
                <w:rFonts w:ascii="Times New Roman" w:hAnsi="Times New Roman"/>
                <w:sz w:val="21"/>
              </w:rPr>
              <w:t>Route extraction, parameter metadata indexing, manual endpoint injection, and route search/filtering.</w:t>
            </w:r>
          </w:p>
        </w:tc>
      </w:tr>
      <w:tr>
        <w:tc>
          <w:tcPr>
            <w:tcW w:type="dxa" w:w="2160"/>
          </w:tcPr>
          <w:p>
            <w:pPr>
              <w:jc w:val="left"/>
            </w:pPr>
            <w:r>
              <w:rPr>
                <w:rFonts w:ascii="Times New Roman" w:hAnsi="Times New Roman"/>
                <w:sz w:val="21"/>
              </w:rPr>
              <w:t>Semantic Dependency Graph</w:t>
            </w:r>
          </w:p>
        </w:tc>
        <w:tc>
          <w:tcPr>
            <w:tcW w:type="dxa" w:w="2880"/>
          </w:tcPr>
          <w:p>
            <w:pPr>
              <w:jc w:val="left"/>
            </w:pPr>
            <w:r>
              <w:rPr>
                <w:rFonts w:ascii="Times New Roman" w:hAnsi="Times New Roman"/>
                <w:sz w:val="21"/>
              </w:rPr>
              <w:t>DependencyGraph model + GraphService + OperationGraph</w:t>
            </w:r>
          </w:p>
        </w:tc>
        <w:tc>
          <w:tcPr>
            <w:tcW w:type="dxa" w:w="3600"/>
          </w:tcPr>
          <w:p>
            <w:pPr>
              <w:jc w:val="left"/>
            </w:pPr>
            <w:r>
              <w:rPr>
                <w:rFonts w:ascii="Times New Roman" w:hAnsi="Times New Roman"/>
                <w:sz w:val="21"/>
              </w:rPr>
              <w:t>Directed graph generation mapping API operations to potential data-flow dependencies; supports Focus View topology.</w:t>
            </w:r>
          </w:p>
        </w:tc>
      </w:tr>
      <w:tr>
        <w:tc>
          <w:tcPr>
            <w:tcW w:type="dxa" w:w="2160"/>
          </w:tcPr>
          <w:p>
            <w:pPr>
              <w:jc w:val="left"/>
            </w:pPr>
            <w:r>
              <w:rPr>
                <w:rFonts w:ascii="Times New Roman" w:hAnsi="Times New Roman"/>
                <w:sz w:val="21"/>
              </w:rPr>
              <w:t>Semantic Similarity Embedding</w:t>
            </w:r>
          </w:p>
        </w:tc>
        <w:tc>
          <w:tcPr>
            <w:tcW w:type="dxa" w:w="2880"/>
          </w:tcPr>
          <w:p>
            <w:pPr>
              <w:jc w:val="left"/>
            </w:pPr>
            <w:r>
              <w:rPr>
                <w:rFonts w:ascii="Times New Roman" w:hAnsi="Times New Roman"/>
                <w:sz w:val="21"/>
              </w:rPr>
              <w:t>OperationDependencyComparator + EmbeddingModel</w:t>
            </w:r>
          </w:p>
        </w:tc>
        <w:tc>
          <w:tcPr>
            <w:tcW w:type="dxa" w:w="3600"/>
          </w:tcPr>
          <w:p>
            <w:pPr>
              <w:jc w:val="left"/>
            </w:pPr>
            <w:r>
              <w:rPr>
                <w:rFonts w:ascii="Times New Roman" w:hAnsi="Times New Roman"/>
                <w:sz w:val="21"/>
              </w:rPr>
              <w:t>Cosine similarity calculation over property names and schemas using word embeddings to identify producer-consumer relations.</w:t>
            </w:r>
          </w:p>
        </w:tc>
      </w:tr>
      <w:tr>
        <w:tc>
          <w:tcPr>
            <w:tcW w:type="dxa" w:w="2160"/>
          </w:tcPr>
          <w:p>
            <w:pPr>
              <w:jc w:val="left"/>
            </w:pPr>
            <w:r>
              <w:rPr>
                <w:rFonts w:ascii="Times New Roman" w:hAnsi="Times New Roman"/>
                <w:sz w:val="21"/>
              </w:rPr>
              <w:t>Graph &amp; State Caching</w:t>
            </w:r>
          </w:p>
        </w:tc>
        <w:tc>
          <w:tcPr>
            <w:tcW w:type="dxa" w:w="2880"/>
          </w:tcPr>
          <w:p>
            <w:pPr>
              <w:jc w:val="left"/>
            </w:pPr>
            <w:r>
              <w:rPr>
                <w:rFonts w:ascii="Times New Roman" w:hAnsi="Times New Roman"/>
                <w:sz w:val="21"/>
              </w:rPr>
              <w:t>CacheConfig + disk cache (shelve)</w:t>
            </w:r>
          </w:p>
        </w:tc>
        <w:tc>
          <w:tcPr>
            <w:tcW w:type="dxa" w:w="3600"/>
          </w:tcPr>
          <w:p>
            <w:pPr>
              <w:jc w:val="left"/>
            </w:pPr>
            <w:r>
              <w:rPr>
                <w:rFonts w:ascii="Times New Roman" w:hAnsi="Times New Roman"/>
                <w:sz w:val="21"/>
              </w:rPr>
              <w:t>Content-addressed caching (spec_&lt;sha256&gt;) of embeddings, graphs, and Q-tables to bypass redundant LLM computation.</w:t>
            </w:r>
          </w:p>
        </w:tc>
      </w:tr>
      <w:tr>
        <w:tc>
          <w:tcPr>
            <w:tcW w:type="dxa" w:w="2160"/>
          </w:tcPr>
          <w:p>
            <w:pPr>
              <w:jc w:val="left"/>
            </w:pPr>
            <w:r>
              <w:rPr>
                <w:rFonts w:ascii="Times New Roman" w:hAnsi="Times New Roman"/>
                <w:sz w:val="21"/>
              </w:rPr>
              <w:t>Test Run Orchestration</w:t>
            </w:r>
          </w:p>
        </w:tc>
        <w:tc>
          <w:tcPr>
            <w:tcW w:type="dxa" w:w="2880"/>
          </w:tcPr>
          <w:p>
            <w:pPr>
              <w:jc w:val="left"/>
            </w:pPr>
            <w:r>
              <w:rPr>
                <w:rFonts w:ascii="Times New Roman" w:hAnsi="Times New Roman"/>
                <w:sz w:val="21"/>
              </w:rPr>
              <w:t>TestSuite model + TestSuitesService + JobManager</w:t>
            </w:r>
          </w:p>
        </w:tc>
        <w:tc>
          <w:tcPr>
            <w:tcW w:type="dxa" w:w="3600"/>
          </w:tcPr>
          <w:p>
            <w:pPr>
              <w:jc w:val="left"/>
            </w:pPr>
            <w:r>
              <w:rPr>
                <w:rFonts w:ascii="Times New Roman" w:hAnsi="Times New Roman"/>
                <w:sz w:val="21"/>
              </w:rPr>
              <w:t>Test execution session management (time budgets, base URLs, route exclusions), engine process spawning, and status polling.</w:t>
            </w:r>
          </w:p>
        </w:tc>
      </w:tr>
      <w:tr>
        <w:tc>
          <w:tcPr>
            <w:tcW w:type="dxa" w:w="2160"/>
          </w:tcPr>
          <w:p>
            <w:pPr>
              <w:jc w:val="left"/>
            </w:pPr>
            <w:r>
              <w:rPr>
                <w:rFonts w:ascii="Times New Roman" w:hAnsi="Times New Roman"/>
                <w:sz w:val="21"/>
              </w:rPr>
              <w:t>Multi-Agent RL (MARL)</w:t>
            </w:r>
          </w:p>
        </w:tc>
        <w:tc>
          <w:tcPr>
            <w:tcW w:type="dxa" w:w="2880"/>
          </w:tcPr>
          <w:p>
            <w:pPr>
              <w:jc w:val="left"/>
            </w:pPr>
            <w:r>
              <w:rPr>
                <w:rFonts w:ascii="Times New Roman" w:hAnsi="Times New Roman"/>
                <w:sz w:val="21"/>
              </w:rPr>
              <w:t>AutoRestTest + QLearning (autoresttest-core)</w:t>
            </w:r>
          </w:p>
        </w:tc>
        <w:tc>
          <w:tcPr>
            <w:tcW w:type="dxa" w:w="3600"/>
          </w:tcPr>
          <w:p>
            <w:pPr>
              <w:jc w:val="left"/>
            </w:pPr>
            <w:r>
              <w:rPr>
                <w:rFonts w:ascii="Times New Roman" w:hAnsi="Times New Roman"/>
                <w:sz w:val="21"/>
              </w:rPr>
              <w:t>Value-decomposition Q-learning loop, temporal-difference updates, agent coordination, and epsilon-greedy exploration decay.</w:t>
            </w:r>
          </w:p>
        </w:tc>
      </w:tr>
      <w:tr>
        <w:tc>
          <w:tcPr>
            <w:tcW w:type="dxa" w:w="2160"/>
          </w:tcPr>
          <w:p>
            <w:pPr>
              <w:jc w:val="left"/>
            </w:pPr>
            <w:r>
              <w:rPr>
                <w:rFonts w:ascii="Times New Roman" w:hAnsi="Times New Roman"/>
                <w:sz w:val="21"/>
              </w:rPr>
              <w:t>LLM Contextual Value Generation</w:t>
            </w:r>
          </w:p>
        </w:tc>
        <w:tc>
          <w:tcPr>
            <w:tcW w:type="dxa" w:w="2880"/>
          </w:tcPr>
          <w:p>
            <w:pPr>
              <w:jc w:val="left"/>
            </w:pPr>
            <w:r>
              <w:rPr>
                <w:rFonts w:ascii="Times New Roman" w:hAnsi="Times New Roman"/>
                <w:sz w:val="21"/>
              </w:rPr>
              <w:t>SmartValueGenerator + LanguageModel</w:t>
            </w:r>
          </w:p>
        </w:tc>
        <w:tc>
          <w:tcPr>
            <w:tcW w:type="dxa" w:w="3600"/>
          </w:tcPr>
          <w:p>
            <w:pPr>
              <w:jc w:val="left"/>
            </w:pPr>
            <w:r>
              <w:rPr>
                <w:rFonts w:ascii="Times New Roman" w:hAnsi="Times New Roman"/>
                <w:sz w:val="21"/>
              </w:rPr>
              <w:t>Pre-generating realistic, context-aware parameter and body payload values via few-shot structured JSON prompts.</w:t>
            </w:r>
          </w:p>
        </w:tc>
      </w:tr>
      <w:tr>
        <w:tc>
          <w:tcPr>
            <w:tcW w:type="dxa" w:w="2160"/>
          </w:tcPr>
          <w:p>
            <w:pPr>
              <w:jc w:val="left"/>
            </w:pPr>
            <w:r>
              <w:rPr>
                <w:rFonts w:ascii="Times New Roman" w:hAnsi="Times New Roman"/>
                <w:sz w:val="21"/>
              </w:rPr>
              <w:t>Dynamic Dependency Data Reuse</w:t>
            </w:r>
          </w:p>
        </w:tc>
        <w:tc>
          <w:tcPr>
            <w:tcW w:type="dxa" w:w="2880"/>
          </w:tcPr>
          <w:p>
            <w:pPr>
              <w:jc w:val="left"/>
            </w:pPr>
            <w:r>
              <w:rPr>
                <w:rFonts w:ascii="Times New Roman" w:hAnsi="Times New Roman"/>
                <w:sz w:val="21"/>
              </w:rPr>
              <w:t>DataSourceAgent + DependencyAgent</w:t>
            </w:r>
          </w:p>
        </w:tc>
        <w:tc>
          <w:tcPr>
            <w:tcW w:type="dxa" w:w="3600"/>
          </w:tcPr>
          <w:p>
            <w:pPr>
              <w:jc w:val="left"/>
            </w:pPr>
            <w:r>
              <w:rPr>
                <w:rFonts w:ascii="Times New Roman" w:hAnsi="Times New Roman"/>
                <w:sz w:val="21"/>
              </w:rPr>
              <w:t>Runtime extraction of identifiers and values from successful 2xx responses and feeding them into downstream dependent requests.</w:t>
            </w:r>
          </w:p>
        </w:tc>
      </w:tr>
      <w:tr>
        <w:tc>
          <w:tcPr>
            <w:tcW w:type="dxa" w:w="2160"/>
          </w:tcPr>
          <w:p>
            <w:pPr>
              <w:jc w:val="left"/>
            </w:pPr>
            <w:r>
              <w:rPr>
                <w:rFonts w:ascii="Times New Roman" w:hAnsi="Times New Roman"/>
                <w:sz w:val="21"/>
              </w:rPr>
              <w:t>Request Mutation &amp; Fuzzing</w:t>
            </w:r>
          </w:p>
        </w:tc>
        <w:tc>
          <w:tcPr>
            <w:tcW w:type="dxa" w:w="2880"/>
          </w:tcPr>
          <w:p>
            <w:pPr>
              <w:jc w:val="left"/>
            </w:pPr>
            <w:r>
              <w:rPr>
                <w:rFonts w:ascii="Times New Roman" w:hAnsi="Times New Roman"/>
                <w:sz w:val="21"/>
              </w:rPr>
              <w:t>RequestGenerator (autoresttest-core)</w:t>
            </w:r>
          </w:p>
        </w:tc>
        <w:tc>
          <w:tcPr>
            <w:tcW w:type="dxa" w:w="3600"/>
          </w:tcPr>
          <w:p>
            <w:pPr>
              <w:jc w:val="left"/>
            </w:pPr>
            <w:r>
              <w:rPr>
                <w:rFonts w:ascii="Times New Roman" w:hAnsi="Times New Roman"/>
                <w:sz w:val="21"/>
              </w:rPr>
              <w:t>Assembling HTTP payloads and applying 20% negative mutations (type tampering, missing keys, boundary values) to probe 5xx errors.</w:t>
            </w:r>
          </w:p>
        </w:tc>
      </w:tr>
      <w:tr>
        <w:tc>
          <w:tcPr>
            <w:tcW w:type="dxa" w:w="2160"/>
          </w:tcPr>
          <w:p>
            <w:pPr>
              <w:jc w:val="left"/>
            </w:pPr>
            <w:r>
              <w:rPr>
                <w:rFonts w:ascii="Times New Roman" w:hAnsi="Times New Roman"/>
                <w:sz w:val="21"/>
              </w:rPr>
              <w:t>Captured HTTP Request Logging</w:t>
            </w:r>
          </w:p>
        </w:tc>
        <w:tc>
          <w:tcPr>
            <w:tcW w:type="dxa" w:w="2880"/>
          </w:tcPr>
          <w:p>
            <w:pPr>
              <w:jc w:val="left"/>
            </w:pPr>
            <w:r>
              <w:rPr>
                <w:rFonts w:ascii="Times New Roman" w:hAnsi="Times New Roman"/>
                <w:sz w:val="21"/>
              </w:rPr>
              <w:t>TestCase model + RequestLog model</w:t>
            </w:r>
          </w:p>
        </w:tc>
        <w:tc>
          <w:tcPr>
            <w:tcW w:type="dxa" w:w="3600"/>
          </w:tcPr>
          <w:p>
            <w:pPr>
              <w:jc w:val="left"/>
            </w:pPr>
            <w:r>
              <w:rPr>
                <w:rFonts w:ascii="Times New Roman" w:hAnsi="Times New Roman"/>
                <w:sz w:val="21"/>
              </w:rPr>
              <w:t>High-fidelity recording of every sent HTTP request (URL, method, headers, payload, response code, latency, response body).</w:t>
            </w:r>
          </w:p>
        </w:tc>
      </w:tr>
      <w:tr>
        <w:tc>
          <w:tcPr>
            <w:tcW w:type="dxa" w:w="2160"/>
          </w:tcPr>
          <w:p>
            <w:pPr>
              <w:jc w:val="left"/>
            </w:pPr>
            <w:r>
              <w:rPr>
                <w:rFonts w:ascii="Times New Roman" w:hAnsi="Times New Roman"/>
                <w:sz w:val="21"/>
              </w:rPr>
              <w:t>Execution Replay</w:t>
            </w:r>
          </w:p>
        </w:tc>
        <w:tc>
          <w:tcPr>
            <w:tcW w:type="dxa" w:w="2880"/>
          </w:tcPr>
          <w:p>
            <w:pPr>
              <w:jc w:val="left"/>
            </w:pPr>
            <w:r>
              <w:rPr>
                <w:rFonts w:ascii="Times New Roman" w:hAnsi="Times New Roman"/>
                <w:sz w:val="21"/>
              </w:rPr>
              <w:t>TestSuitesService (Replay Mode)</w:t>
            </w:r>
          </w:p>
        </w:tc>
        <w:tc>
          <w:tcPr>
            <w:tcW w:type="dxa" w:w="3600"/>
          </w:tcPr>
          <w:p>
            <w:pPr>
              <w:jc w:val="left"/>
            </w:pPr>
            <w:r>
              <w:rPr>
                <w:rFonts w:ascii="Times New Roman" w:hAnsi="Times New Roman"/>
                <w:sz w:val="21"/>
              </w:rPr>
              <w:t>Deterministic sequential re-execution of previously captured HTTP requests to verify bug fixes without AI re-generation.</w:t>
            </w:r>
          </w:p>
        </w:tc>
      </w:tr>
      <w:tr>
        <w:tc>
          <w:tcPr>
            <w:tcW w:type="dxa" w:w="2160"/>
          </w:tcPr>
          <w:p>
            <w:pPr>
              <w:jc w:val="left"/>
            </w:pPr>
            <w:r>
              <w:rPr>
                <w:rFonts w:ascii="Times New Roman" w:hAnsi="Times New Roman"/>
                <w:sz w:val="21"/>
              </w:rPr>
              <w:t>AI Request Descriptions</w:t>
            </w:r>
          </w:p>
        </w:tc>
        <w:tc>
          <w:tcPr>
            <w:tcW w:type="dxa" w:w="2880"/>
          </w:tcPr>
          <w:p>
            <w:pPr>
              <w:jc w:val="left"/>
            </w:pPr>
            <w:r>
              <w:rPr>
                <w:rFonts w:ascii="Times New Roman" w:hAnsi="Times New Roman"/>
                <w:sz w:val="21"/>
              </w:rPr>
              <w:t>RequestDescriptionsService</w:t>
            </w:r>
          </w:p>
        </w:tc>
        <w:tc>
          <w:tcPr>
            <w:tcW w:type="dxa" w:w="3600"/>
          </w:tcPr>
          <w:p>
            <w:pPr>
              <w:jc w:val="left"/>
            </w:pPr>
            <w:r>
              <w:rPr>
                <w:rFonts w:ascii="Times New Roman" w:hAnsi="Times New Roman"/>
                <w:sz w:val="21"/>
              </w:rPr>
              <w:t>Automated batch generation of plain-English summaries explaining the purpose and payload of each executed HTTP test case.</w:t>
            </w:r>
          </w:p>
        </w:tc>
      </w:tr>
      <w:tr>
        <w:tc>
          <w:tcPr>
            <w:tcW w:type="dxa" w:w="2160"/>
          </w:tcPr>
          <w:p>
            <w:pPr>
              <w:jc w:val="left"/>
            </w:pPr>
            <w:r>
              <w:rPr>
                <w:rFonts w:ascii="Times New Roman" w:hAnsi="Times New Roman"/>
                <w:sz w:val="21"/>
              </w:rPr>
              <w:t>Test Analytics &amp; Export</w:t>
            </w:r>
          </w:p>
        </w:tc>
        <w:tc>
          <w:tcPr>
            <w:tcW w:type="dxa" w:w="2880"/>
          </w:tcPr>
          <w:p>
            <w:pPr>
              <w:jc w:val="left"/>
            </w:pPr>
            <w:r>
              <w:rPr>
                <w:rFonts w:ascii="Times New Roman" w:hAnsi="Times New Roman"/>
                <w:sz w:val="21"/>
              </w:rPr>
              <w:t>ReportsService</w:t>
            </w:r>
          </w:p>
        </w:tc>
        <w:tc>
          <w:tcPr>
            <w:tcW w:type="dxa" w:w="3600"/>
          </w:tcPr>
          <w:p>
            <w:pPr>
              <w:jc w:val="left"/>
            </w:pPr>
            <w:r>
              <w:rPr>
                <w:rFonts w:ascii="Times New Roman" w:hAnsi="Times New Roman"/>
                <w:sz w:val="21"/>
              </w:rPr>
              <w:t>Aggregation of operation coverage, status-code distributions, error clustering, and report compilation into PDF and CSV formats.</w:t>
            </w:r>
          </w:p>
        </w:tc>
      </w:tr>
      <w:tr>
        <w:tc>
          <w:tcPr>
            <w:tcW w:type="dxa" w:w="2160"/>
          </w:tcPr>
          <w:p>
            <w:pPr>
              <w:jc w:val="left"/>
            </w:pPr>
            <w:r>
              <w:rPr>
                <w:rFonts w:ascii="Times New Roman" w:hAnsi="Times New Roman"/>
                <w:sz w:val="21"/>
              </w:rPr>
              <w:t>AI Failure Root-Cause Analysis</w:t>
            </w:r>
          </w:p>
        </w:tc>
        <w:tc>
          <w:tcPr>
            <w:tcW w:type="dxa" w:w="2880"/>
          </w:tcPr>
          <w:p>
            <w:pPr>
              <w:jc w:val="left"/>
            </w:pPr>
            <w:r>
              <w:rPr>
                <w:rFonts w:ascii="Times New Roman" w:hAnsi="Times New Roman"/>
                <w:sz w:val="21"/>
              </w:rPr>
              <w:t>LlmService (reports module)</w:t>
            </w:r>
          </w:p>
        </w:tc>
        <w:tc>
          <w:tcPr>
            <w:tcW w:type="dxa" w:w="3600"/>
          </w:tcPr>
          <w:p>
            <w:pPr>
              <w:jc w:val="left"/>
            </w:pPr>
            <w:r>
              <w:rPr>
                <w:rFonts w:ascii="Times New Roman" w:hAnsi="Times New Roman"/>
                <w:sz w:val="21"/>
              </w:rPr>
              <w:t>Context-aware LLM evaluation of failed HTTP transactions (request/response context) to explain failure causes in plain language.</w:t>
            </w:r>
          </w:p>
        </w:tc>
      </w:tr>
      <w:tr>
        <w:tc>
          <w:tcPr>
            <w:tcW w:type="dxa" w:w="2160"/>
          </w:tcPr>
          <w:p>
            <w:pPr>
              <w:jc w:val="left"/>
            </w:pPr>
            <w:r>
              <w:rPr>
                <w:rFonts w:ascii="Times New Roman" w:hAnsi="Times New Roman"/>
                <w:sz w:val="21"/>
              </w:rPr>
              <w:t>Multi-Scope LLM Configuration</w:t>
            </w:r>
          </w:p>
        </w:tc>
        <w:tc>
          <w:tcPr>
            <w:tcW w:type="dxa" w:w="2880"/>
          </w:tcPr>
          <w:p>
            <w:pPr>
              <w:jc w:val="left"/>
            </w:pPr>
            <w:r>
              <w:rPr>
                <w:rFonts w:ascii="Times New Roman" w:hAnsi="Times New Roman"/>
                <w:sz w:val="21"/>
              </w:rPr>
              <w:t>LlmSettings model + LlmSettingsService</w:t>
            </w:r>
          </w:p>
        </w:tc>
        <w:tc>
          <w:tcPr>
            <w:tcW w:type="dxa" w:w="3600"/>
          </w:tcPr>
          <w:p>
            <w:pPr>
              <w:jc w:val="left"/>
            </w:pPr>
            <w:r>
              <w:rPr>
                <w:rFonts w:ascii="Times New Roman" w:hAnsi="Times New Roman"/>
                <w:sz w:val="21"/>
              </w:rPr>
              <w:t>Dynamic administrative management and runtime hot-reloading of LLM provider keys and models across 3 independent scopes.</w:t>
            </w:r>
          </w:p>
        </w:tc>
      </w:tr>
    </w:tbl>
    <w:p>
      <w:pPr>
        <w:spacing w:line="276" w:lineRule="auto" w:after="160"/>
      </w:pPr>
      <w:r>
        <w:rPr>
          <w:rFonts w:ascii="Times New Roman" w:hAnsi="Times New Roman"/>
          <w:b w:val="0"/>
          <w:i w:val="0"/>
          <w:sz w:val="24"/>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