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>
          <w:b w:val="1"/>
          <w:sz w:val="32"/>
          <w:szCs w:val="32"/>
        </w:rPr>
      </w:pPr>
      <w:bookmarkStart w:colFirst="0" w:colLast="0" w:name="_gi18q5xiiys9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Data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Retinal Imaging Datasets</w:t>
      </w: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Diabetic Retinopathy 224x224 (2019 Data)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Lifestyle/Diabetes Risk Tabular Datasets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Diabetes Risk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firstLine="720"/>
        <w:rPr>
          <w:b w:val="1"/>
          <w:sz w:val="32"/>
          <w:szCs w:val="32"/>
        </w:rPr>
      </w:pPr>
      <w:bookmarkStart w:colFirst="0" w:colLast="0" w:name="_xgax59yj8050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Deep learning techniques</w:t>
      </w:r>
    </w:p>
    <w:p w:rsidR="00000000" w:rsidDel="00000000" w:rsidP="00000000" w:rsidRDefault="00000000" w:rsidRPr="00000000" w14:paraId="0000000B">
      <w:pPr>
        <w:ind w:left="0" w:firstLine="72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Convolutional Neural Networks (CNNs)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Specialized for image analysis, CNNs automatically learn spatial features from retinal images to detect lesions and abnormalities.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Transfer Learning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pretrained networks (e.g., ResNet, EfficientNet) fine-tuned on retinal image datasets to improve accuracy and reduce training time.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Multimodal Deep Learning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Integrating retinal imaging features with lifestyle and demographic data in a unified model to enhance predictive power.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Recurrent Neural Networks (RNNs) / Transformers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process sequential health data or text data from lifestyle inputs and integrate with imaging data.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Large Language Models (LLMs)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simulate patient dialogues, generate personalized prevention advice, and interpret complex non-image data.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sz w:val="32"/>
          <w:szCs w:val="32"/>
        </w:rPr>
      </w:pPr>
      <w:bookmarkStart w:colFirst="0" w:colLast="0" w:name="_lcnkh6u6phpk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Convolutional Neural Networks (CNNs)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Core algorithm for retinal image analysis (VGG, ResNet, EfficientNet, AlexNet, GoogLeNet)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Recurrent Neural Networks (RNNs) / LSTM / GRU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integrating sequential or time-series health and lifestyle data. Useful in multimodal settings combining image and non-image data.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Multimodal Fusion Algorithms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Hybrid Fusion: Employs attention mechanisms or gating networks that adaptively weight and combine feature representations from different data types.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Transformer Models</w:t>
        <w:br w:type="textWrapping"/>
        <w:br w:type="textWrapping"/>
        <w:t xml:space="preserve">Used for both text and sequential temporal data and can be adapted for multimodal fusion, capturing complex cross-data dependencies.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Large Language Model (LLM)-based Algorithms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personalized advice, interpret multimodal data through prompts, and simulate patient-clinician dialogues.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b w:val="1"/>
          <w:sz w:val="32"/>
          <w:szCs w:val="32"/>
        </w:rPr>
      </w:pPr>
      <w:bookmarkStart w:colFirst="0" w:colLast="0" w:name="_1zrpkxctw9rl" w:id="3"/>
      <w:bookmarkEnd w:id="3"/>
      <w:r w:rsidDel="00000000" w:rsidR="00000000" w:rsidRPr="00000000">
        <w:rPr>
          <w:b w:val="1"/>
          <w:sz w:val="32"/>
          <w:szCs w:val="32"/>
          <w:rtl w:val="0"/>
        </w:rPr>
        <w:t xml:space="preserve">Pre Processing Data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fh2jaw5xzauh" w:id="4"/>
      <w:bookmarkEnd w:id="4"/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Retinal Imaging Preprocessing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Green Channel Extraction: Retinal images often use the green channel because it provides the best contrast for blood vessels and lesions.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Histogram Equalization: To enhance contrast and make features like microaneurysms or exudates more visible.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 Resizing: Normalize image sizes (e.g., 224x224) to fit model input requirements.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 Enhancement: Apply sharpening, denoising (e.g., Wiener filtering) or Contrast Limited Adaptive Histogram Equalization (CLAHE).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Augmentation: Techniques such as rotation, flipping, zooming, brightness adjustment to artificially increase dataset diversity and robustness.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dtijy7chws69" w:id="5"/>
      <w:bookmarkEnd w:id="5"/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Lifestyle/Tabular Data Preprocessing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Handling Missing Values: Imputation using mean/median/mode or predictive models.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Normalization/Standardization: Scale numeric features to similar ranges to improve model convergence.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Encoding Categorical Variables: One-hot encoding or label encoding of categorical lifestyle factors.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Selection/Engineering: Derive meaningful features or reduce dimensionality based on domain knowledge.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Splitting: Properly divide the dataset into training, validation, and test sets to avoid data leakage.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bookmarkStart w:colFirst="0" w:colLast="0" w:name="_rp1nz8hhu4ip" w:id="6"/>
      <w:bookmarkEnd w:id="6"/>
      <w:r w:rsidDel="00000000" w:rsidR="00000000" w:rsidRPr="00000000">
        <w:rPr>
          <w:b w:val="1"/>
          <w:sz w:val="32"/>
          <w:szCs w:val="32"/>
          <w:rtl w:val="0"/>
        </w:rPr>
        <w:t xml:space="preserve">Data is represent all Classes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Diabetic Retinopathy 224x224 dataset you are using from Kaggle contains images classified into five distinct classes representing the stages of diabetic retinopathy: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DR (Normal)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Mild Nonproliferative Diabetic Retinopathy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Moderate Nonproliferative Diabetic Retinopathy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Severe Nonproliferative Diabetic Retinopathy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Proliferative Diabetic Retinopathy (PDR)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classes cover the full severity spectrum of diabetic retinopathy, allowing your model to classify images from normal to the most advanced stage of the disease.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ovitrath/diabetic-retinopathy-224x224-2019-data" TargetMode="External"/><Relationship Id="rId7" Type="http://schemas.openxmlformats.org/officeDocument/2006/relationships/hyperlink" Target="https://www.kaggle.com/datasets/smayanj/diabetes-risk-dataset?select=diabetes_risk_dataset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