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000Web000003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31.50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PROD869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Monster</w:t>
              <w:br/>
              <w:br/>
            </w:r>
            <w:r>
              <w:rPr>
                <w:sz w:val="22"/>
              </w:rPr>
              <w:t xml:space="preserve">Gaming Laptop Monster Red Lightning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Monster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950.00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675.00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Legend</w:t>
              <w:br/>
              <w:br/>
            </w:r>
            <w:r>
              <w:rPr>
                <w:sz w:val="22"/>
              </w:rPr>
              <w:t xml:space="preserve">Game mouse Legend  Wire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Legend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27.00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PROD819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Poseidon</w:t>
              <w:br/>
              <w:br/>
            </w:r>
            <w:r>
              <w:rPr>
                <w:sz w:val="22"/>
              </w:rPr>
              <w:t xml:space="preserve">Gaming Laptop Poseidon Blue Neon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Poseidon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1050.00</w:t>
              <w:br/>
              <w:br/>
            </w:r>
            <w:r>
              <w:rPr>
                <w:sz w:val="22"/>
              </w:rPr>
              <w:t xml:space="preserve">30.00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2023-09-16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3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1.35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1010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789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