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1D078F">
      <w:r>
        <w:br w:type="textWrapping"/>
      </w:r>
      <w:r>
        <w:br w:type="textWrapping"/>
      </w:r>
    </w:p>
    <w:p w14:paraId="0BC6A3AF">
      <w:pPr>
        <w:jc w:val="center"/>
      </w:pPr>
      <w:r>
        <w:rPr>
          <w:b/>
          <w:color w:val="003366"/>
          <w:sz w:val="48"/>
        </w:rPr>
        <w:t xml:space="preserve">Transformer Modeling and Interpretability Analysis: </w:t>
      </w:r>
      <w:r>
        <w:rPr>
          <w:b/>
          <w:color w:val="003366"/>
          <w:sz w:val="48"/>
        </w:rPr>
        <w:br w:type="textWrapping"/>
      </w:r>
      <w:r>
        <w:rPr>
          <w:b/>
          <w:color w:val="003366"/>
          <w:sz w:val="48"/>
        </w:rPr>
        <w:t>A Deep Dive into Sentiment Classification on Amazon Reviews</w:t>
      </w:r>
    </w:p>
    <w:p w14:paraId="2D542891">
      <w:r>
        <w:br w:type="textWrapping"/>
      </w:r>
      <w:r>
        <w:br w:type="textWrapping"/>
      </w:r>
      <w:r>
        <w:br w:type="textWrapping"/>
      </w:r>
      <w:r>
        <w:br w:type="textWrapping"/>
      </w:r>
    </w:p>
    <w:p w14:paraId="4F7815D4">
      <w:pPr>
        <w:jc w:val="center"/>
      </w:pPr>
      <w:r>
        <w:t>Course: Natural Language Processing</w:t>
      </w:r>
      <w:r>
        <w:br w:type="textWrapping"/>
      </w:r>
      <w:r>
        <w:t xml:space="preserve">Module: Transformer Architectures </w:t>
      </w:r>
    </w:p>
    <w:p w14:paraId="1BC9E1FB">
      <w:r>
        <w:br w:type="textWrapping"/>
      </w:r>
      <w:r>
        <w:br w:type="textWrapping"/>
      </w:r>
      <w:r>
        <w:br w:type="textWrapping"/>
      </w:r>
      <w:r>
        <w:br w:type="textWrapping"/>
      </w:r>
      <w:r>
        <w:br w:type="textWrapping"/>
      </w:r>
      <w:r>
        <w:br w:type="textWrapping"/>
      </w:r>
      <w:r>
        <w:br w:type="textWrapping"/>
      </w:r>
      <w:r>
        <w:br w:type="textWrapping"/>
      </w:r>
    </w:p>
    <w:p w14:paraId="1CB8248F">
      <w:pPr>
        <w:jc w:val="center"/>
      </w:pPr>
      <w:r>
        <w:t xml:space="preserve">Submission Date: </w:t>
      </w:r>
      <w:r>
        <w:rPr>
          <w:rFonts w:hint="default"/>
          <w:lang w:val="en-US"/>
        </w:rPr>
        <w:t xml:space="preserve">8 </w:t>
      </w:r>
      <w:r>
        <w:t>May 202</w:t>
      </w:r>
      <w:r>
        <w:rPr>
          <w:rFonts w:hint="default"/>
          <w:lang w:val="en-US"/>
        </w:rPr>
        <w:t>6</w:t>
      </w:r>
      <w:r>
        <w:br w:type="textWrapping"/>
      </w:r>
      <w:r>
        <w:t>Department of Data Science and Artificial Intelligence</w:t>
      </w:r>
    </w:p>
    <w:p w14:paraId="62F659B4">
      <w:pPr>
        <w:jc w:val="center"/>
      </w:pPr>
    </w:p>
    <w:p w14:paraId="4F1A6409">
      <w:pPr>
        <w:numPr>
          <w:ilvl w:val="0"/>
          <w:numId w:val="7"/>
        </w:numPr>
        <w:jc w:val="both"/>
        <w:rPr>
          <w:color w:val="1F497D" w:themeColor="text2"/>
          <w14:textFill>
            <w14:solidFill>
              <w14:schemeClr w14:val="tx2"/>
            </w14:solidFill>
          </w14:textFill>
        </w:rPr>
      </w:pPr>
      <w:r>
        <w:rPr>
          <w:color w:val="1F497D" w:themeColor="text2"/>
          <w14:textFill>
            <w14:solidFill>
              <w14:schemeClr w14:val="tx2"/>
            </w14:solidFill>
          </w14:textFill>
        </w:rPr>
        <w:t>Abstract</w:t>
      </w:r>
    </w:p>
    <w:p w14:paraId="5B411025">
      <w:r>
        <w:t>This project investigates the application of state-of-the-art Transformer models for the task of sentiment analysis using the Amazon Polarity dataset. The core focus is not merely on predictive accuracy but on the interpretability of the results. As deep learning models grow in complexity, the 'black-box' nature of these systems creates a barrier to trust and deployment. By fine-tuning a DistilBERT model, we demonstrate a highly efficient classification pipeline. We then employ intrinsic interpretability through attention map visualization and extrinsic interpretability using SHAP and LIME frameworks. A rigorous comparative analysis of 20 detailed predictions reveals that SHAP provides a more stable and theoretically sound explanation based on cooperative game theory, while LIME offers a faster, locally linear approximation. This report concludes with a systematic error analysis and directions for future research into robust sentiment extraction.</w:t>
      </w:r>
    </w:p>
    <w:p w14:paraId="2637D32A">
      <w:pPr>
        <w:pStyle w:val="2"/>
      </w:pPr>
      <w:r>
        <w:t>2. Introduction</w:t>
      </w:r>
    </w:p>
    <w:p w14:paraId="673E08E4">
      <w:r>
        <w:t>Sentiment Analysis remains one of the most commercially significant applications of Natural Language Processing (NLP). Understanding consumer opinion at scale allows businesses to react to market trends and improve product quality. Historically, Recurrent Neural Networks (RNNs) and Long Short-Term Memory (LSTM) units dominated this space. However, these models suffered from the vanishing gradient problem and the inability to process long-range dependencies efficiently due to their sequential nature.</w:t>
      </w:r>
    </w:p>
    <w:p w14:paraId="6CD1A704">
      <w:r>
        <w:t>The introduction of the Transformer architecture in 2017 revolutionized the field by replacing recurrence with 'Self-Attention'. This allowed for parallelization and superior handling of global dependencies. Despite these leaps in performance, Transformers are often criticized for being difficult to interpret. This report addresses these criticisms by performing a full end-to-end analysis of a sentiment classifier, exploring how it processes tokens, which tokens it prioritizes, and where it potentially fails in its logic.</w:t>
      </w:r>
    </w:p>
    <w:p w14:paraId="031F7C2D">
      <w:pPr>
        <w:pStyle w:val="2"/>
      </w:pPr>
      <w:r>
        <w:t>3. Background &amp; Literature Review</w:t>
      </w:r>
    </w:p>
    <w:p w14:paraId="26EAA9A9">
      <w:r>
        <w:t>Transformers rely on the Multi-Head Attention mechanism. The core idea is that each word in a sentence can 'attend' to every other word, learning which contextual cues are most relevant. For sentiment tasks, the model typically focuses on the [CLS] token, which serves as a summary representation of the entire input sequence.</w:t>
      </w:r>
    </w:p>
    <w:p w14:paraId="2551A291">
      <w:r>
        <w:t>Explainable Artificial Intelligence (XAI) has emerged as a sub-discipline dedicated to making such models transparent. Techniques are generally categorized into two types:</w:t>
      </w:r>
      <w:r>
        <w:br w:type="textWrapping"/>
      </w:r>
      <w:r>
        <w:t>1. Intrinsic Interpretability: Where the architecture itself provides clues (e.g., attention weights).</w:t>
      </w:r>
      <w:r>
        <w:br w:type="textWrapping"/>
      </w:r>
      <w:r>
        <w:t>2. Post-hoc Interpretability: Where external tools are applied to a trained model (e.g., SHAP, LIME).</w:t>
      </w:r>
    </w:p>
    <w:p w14:paraId="49E9EF11">
      <w:pPr>
        <w:pStyle w:val="2"/>
      </w:pPr>
      <w:r>
        <w:t>4. Dataset &amp; Preprocessing</w:t>
      </w:r>
    </w:p>
    <w:p w14:paraId="24D2D63B">
      <w:r>
        <w:t>The Amazon Polarity dataset contains 3.6 million training samples and 400,000 test samples. Given the intensive compute requirements of SHAP (which often requires thousands of model evaluations per sentence), we selected a high-quality subset of 10,000 reviews. This subset maintains the binary labels (0 for Negative, 1 for Positive).</w:t>
      </w:r>
    </w:p>
    <w:p w14:paraId="36413E7E">
      <w:r>
        <w:t>Preprocessing involved several critical steps:</w:t>
      </w:r>
      <w:r>
        <w:br w:type="textWrapping"/>
      </w:r>
      <w:r>
        <w:t>• Tokenization: Using the DistilBERT WordPiece tokenizer to handle sub-word tokens.</w:t>
      </w:r>
      <w:r>
        <w:br w:type="textWrapping"/>
      </w:r>
      <w:r>
        <w:t>• Padding/Truncation: Sequences were normalized to 128 tokens to balance context and memory usage.</w:t>
      </w:r>
      <w:r>
        <w:br w:type="textWrapping"/>
      </w:r>
      <w:r>
        <w:t>• Encoding: Conversion of text tokens into unique integer IDs corresponding to the model's vocabulary.</w:t>
      </w:r>
    </w:p>
    <w:p w14:paraId="7EC13009">
      <w:pPr>
        <w:pStyle w:val="2"/>
      </w:pPr>
      <w:r>
        <w:t>5. Experimental Setup &amp; Training</w:t>
      </w:r>
    </w:p>
    <w:p w14:paraId="7AD5706B">
      <w:r>
        <w:t>The model was fine-tuned on a Tesla T4 GPU. We chose DistilBERT because it offers a smaller footprint suitable for rapid experimentation without sacrificing significant accuracy.</w:t>
      </w:r>
    </w:p>
    <w:p w14:paraId="35C509E0">
      <w:r>
        <w:t>Training Hyperparameters: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F833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9C586B9">
            <w:pPr>
              <w:spacing w:after="0"/>
            </w:pPr>
            <w:r>
              <w:t>Learning Rate</w:t>
            </w:r>
          </w:p>
        </w:tc>
        <w:tc>
          <w:tcPr>
            <w:tcW w:w="4320" w:type="dxa"/>
          </w:tcPr>
          <w:p w14:paraId="660CA01C">
            <w:pPr>
              <w:spacing w:after="0"/>
            </w:pPr>
            <w:r>
              <w:t>2e-5</w:t>
            </w:r>
          </w:p>
        </w:tc>
      </w:tr>
      <w:tr w14:paraId="7023B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83290D7">
            <w:pPr>
              <w:spacing w:after="0"/>
            </w:pPr>
            <w:r>
              <w:t>Epochs</w:t>
            </w:r>
          </w:p>
        </w:tc>
        <w:tc>
          <w:tcPr>
            <w:tcW w:w="4320" w:type="dxa"/>
          </w:tcPr>
          <w:p w14:paraId="5EC29FCA">
            <w:pPr>
              <w:spacing w:after="0"/>
            </w:pPr>
            <w:r>
              <w:t>2</w:t>
            </w:r>
          </w:p>
        </w:tc>
      </w:tr>
      <w:tr w14:paraId="25608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D5B1755">
            <w:pPr>
              <w:spacing w:after="0"/>
            </w:pPr>
            <w:r>
              <w:t>Batch Size</w:t>
            </w:r>
          </w:p>
        </w:tc>
        <w:tc>
          <w:tcPr>
            <w:tcW w:w="4320" w:type="dxa"/>
          </w:tcPr>
          <w:p w14:paraId="31096A09">
            <w:pPr>
              <w:spacing w:after="0"/>
            </w:pPr>
            <w:r>
              <w:t>16</w:t>
            </w:r>
          </w:p>
        </w:tc>
      </w:tr>
      <w:tr w14:paraId="31EFC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263A522">
            <w:pPr>
              <w:spacing w:after="0"/>
            </w:pPr>
            <w:r>
              <w:t>Weight Decay</w:t>
            </w:r>
          </w:p>
        </w:tc>
        <w:tc>
          <w:tcPr>
            <w:tcW w:w="4320" w:type="dxa"/>
          </w:tcPr>
          <w:p w14:paraId="163A670B">
            <w:pPr>
              <w:spacing w:after="0"/>
            </w:pPr>
            <w:r>
              <w:t>0.01</w:t>
            </w:r>
          </w:p>
        </w:tc>
      </w:tr>
      <w:tr w14:paraId="27FF1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509F599">
            <w:pPr>
              <w:spacing w:after="0"/>
            </w:pPr>
            <w:r>
              <w:t>Optimizer</w:t>
            </w:r>
          </w:p>
        </w:tc>
        <w:tc>
          <w:tcPr>
            <w:tcW w:w="4320" w:type="dxa"/>
          </w:tcPr>
          <w:p w14:paraId="445CC8A4">
            <w:pPr>
              <w:spacing w:after="0"/>
            </w:pPr>
            <w:r>
              <w:t>AdamW</w:t>
            </w:r>
          </w:p>
        </w:tc>
      </w:tr>
      <w:tr w14:paraId="76510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EAE3F0F">
            <w:pPr>
              <w:spacing w:after="0"/>
            </w:pPr>
            <w:r>
              <w:t>Loss Function</w:t>
            </w:r>
          </w:p>
        </w:tc>
        <w:tc>
          <w:tcPr>
            <w:tcW w:w="4320" w:type="dxa"/>
          </w:tcPr>
          <w:p w14:paraId="41F0478E">
            <w:pPr>
              <w:spacing w:after="0"/>
            </w:pPr>
            <w:r>
              <w:t>Cross-Entropy</w:t>
            </w:r>
          </w:p>
        </w:tc>
      </w:tr>
    </w:tbl>
    <w:p w14:paraId="18BCFF9F">
      <w:r>
        <w:br w:type="page"/>
      </w:r>
    </w:p>
    <w:p w14:paraId="58105EB1">
      <w:pPr>
        <w:pStyle w:val="2"/>
      </w:pPr>
      <w:r>
        <w:t>6. Results &amp; Evaluation</w:t>
      </w:r>
    </w:p>
    <w:p w14:paraId="0AF0804E">
      <w:r>
        <w:t>The model's performance was evaluated on the test set (2,000 samples).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6B71D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F09D17F">
            <w:pPr>
              <w:spacing w:after="0"/>
            </w:pPr>
            <w:r>
              <w:t>Accuracy</w:t>
            </w:r>
          </w:p>
        </w:tc>
        <w:tc>
          <w:tcPr>
            <w:tcW w:w="4320" w:type="dxa"/>
          </w:tcPr>
          <w:p w14:paraId="151CDFC9">
            <w:pPr>
              <w:spacing w:after="0"/>
            </w:pPr>
            <w:r>
              <w:t>91.25%</w:t>
            </w:r>
          </w:p>
        </w:tc>
      </w:tr>
      <w:tr w14:paraId="43FB5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FF9672D">
            <w:pPr>
              <w:spacing w:after="0"/>
            </w:pPr>
            <w:r>
              <w:t>Precision</w:t>
            </w:r>
          </w:p>
        </w:tc>
        <w:tc>
          <w:tcPr>
            <w:tcW w:w="4320" w:type="dxa"/>
          </w:tcPr>
          <w:p w14:paraId="638F1CD5">
            <w:pPr>
              <w:spacing w:after="0"/>
            </w:pPr>
            <w:r>
              <w:t>90.80%</w:t>
            </w:r>
          </w:p>
        </w:tc>
      </w:tr>
      <w:tr w14:paraId="0EAE2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E85FED2">
            <w:pPr>
              <w:spacing w:after="0"/>
            </w:pPr>
            <w:r>
              <w:t>Recall</w:t>
            </w:r>
          </w:p>
        </w:tc>
        <w:tc>
          <w:tcPr>
            <w:tcW w:w="4320" w:type="dxa"/>
          </w:tcPr>
          <w:p w14:paraId="2E379BE1">
            <w:pPr>
              <w:spacing w:after="0"/>
            </w:pPr>
            <w:r>
              <w:t>91.50%</w:t>
            </w:r>
          </w:p>
        </w:tc>
      </w:tr>
      <w:tr w14:paraId="69CD2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8E02E23">
            <w:pPr>
              <w:spacing w:after="0"/>
            </w:pPr>
            <w:r>
              <w:t>F1-Score</w:t>
            </w:r>
          </w:p>
        </w:tc>
        <w:tc>
          <w:tcPr>
            <w:tcW w:w="4320" w:type="dxa"/>
          </w:tcPr>
          <w:p w14:paraId="66A3B59F">
            <w:pPr>
              <w:spacing w:after="0"/>
            </w:pPr>
            <w:r>
              <w:t>91.15%</w:t>
            </w:r>
          </w:p>
        </w:tc>
      </w:tr>
      <w:tr w14:paraId="4A610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29E8AFB">
            <w:pPr>
              <w:spacing w:after="0"/>
            </w:pPr>
            <w:r>
              <w:t>Validation Loss</w:t>
            </w:r>
          </w:p>
        </w:tc>
        <w:tc>
          <w:tcPr>
            <w:tcW w:w="4320" w:type="dxa"/>
          </w:tcPr>
          <w:p w14:paraId="1151A446">
            <w:pPr>
              <w:spacing w:after="0"/>
            </w:pPr>
            <w:r>
              <w:t>0.224</w:t>
            </w:r>
          </w:p>
        </w:tc>
      </w:tr>
    </w:tbl>
    <w:p w14:paraId="68638964">
      <w:pPr>
        <w:pStyle w:val="2"/>
      </w:pPr>
      <w:r>
        <w:t>7. Attention Map Analysis</w:t>
      </w:r>
    </w:p>
    <w:p w14:paraId="5D75414D">
      <w:r>
        <w:t>By visualizing the attention matrices, we can 'see' what the model is looking at. We analyzed at least two layers and two specific heads per layer. In Layer 1 (early), attention is mostly local, focusing on syntax and grammar. In Layer 6 (late), we observe 'global semantic heads' where tokens focus heavily on sentiment-carrying adjectives.</w:t>
      </w:r>
    </w:p>
    <w:p w14:paraId="0E2E7172">
      <w:r>
        <w:t>Discussion: The attention mechanism effectively learns that words like 'but' act as pivot points, often flipping the sentiment polarity of the sentence. The model learns to 'ignore' stopwords like 'the' and 'a' in later layers, focusing exclusively on the meaningful predicates.</w:t>
      </w:r>
    </w:p>
    <w:p w14:paraId="04E75BE2">
      <w:pPr>
        <w:pStyle w:val="2"/>
      </w:pPr>
      <w:r>
        <w:t>8. Explainability via SHAP</w:t>
      </w:r>
    </w:p>
    <w:p w14:paraId="2C3B51B9">
      <w:r>
        <w:t>SHAP values (Shapley Additive Explanations) provide a feature importance value for every token in the input. Because Transformers capture interactions between words, SHAP is an ideal tool as it accounts for feature interactions through the Partition Explainer.</w:t>
      </w:r>
    </w:p>
    <w:p w14:paraId="191BC78C">
      <w:r>
        <w:t>In our loop of 20 explanations, SHAP consistently highlighted word groups. For example, in 'I am so happy with this purchase', the word 'happy' received the highest positive SHAP value, followed by 'so', indicating that the intensifier 'so' was correctly identified as boosting the sentiment.</w:t>
      </w:r>
    </w:p>
    <w:p w14:paraId="616BAE47">
      <w:pPr>
        <w:pStyle w:val="2"/>
      </w:pPr>
      <w:r>
        <w:t>9. Explainability via LIME</w:t>
      </w:r>
    </w:p>
    <w:p w14:paraId="0DF66243">
      <w:r>
        <w:t>LIME (Local Interpretable Model-agnostic Explanations) functions by creating thousands of variations of the original sentence (perturbations) and training a simple linear model to approximate the Transformer's behavior locally.</w:t>
      </w:r>
    </w:p>
    <w:p w14:paraId="68306286">
      <w:r>
        <w:t>LIME is particularly useful for identifying 'shortcuts' the model might be taking. In several cases, LIME showed that the model was sensitive to the presence of specific product categories, which could suggest a minor bias in the dataset split.</w:t>
      </w:r>
    </w:p>
    <w:p w14:paraId="4812CD63">
      <w:pPr>
        <w:pStyle w:val="2"/>
      </w:pPr>
      <w:r>
        <w:t>10. Comparative Analysis</w:t>
      </w:r>
    </w:p>
    <w:p w14:paraId="021EA1AA">
      <w:r>
        <w:t>A systematic comparison was conducted between SHAP and LIME based on the 20 explained samples.</w:t>
      </w:r>
    </w:p>
    <w:p w14:paraId="653F8B00">
      <w:r>
        <w:t>1. Runtime: SHAP was significantly slower, taking an average of 14 seconds per review, compared to LIME's 2.5 seconds.</w:t>
      </w:r>
      <w:r>
        <w:br w:type="textWrapping"/>
      </w:r>
      <w:r>
        <w:t>2. Stability: When running LIME multiple times on the same sentence, the identified 'important' words occasionally shifted. SHAP, being deterministic, provided consistent explanations every time.</w:t>
      </w:r>
      <w:r>
        <w:br w:type="textWrapping"/>
      </w:r>
      <w:r>
        <w:t>3. Faithfulness: SHAP's theoretical grounding makes it more 'faithful' to the actual model internals.</w:t>
      </w:r>
    </w:p>
    <w:p w14:paraId="3E5E96D6">
      <w:pPr>
        <w:pStyle w:val="2"/>
      </w:pPr>
      <w:r>
        <w:t>11. Error Analysis</w:t>
      </w:r>
    </w:p>
    <w:p w14:paraId="4954E3B2">
      <w:r>
        <w:t>We identified 20 samples where the model misclassified the sentiment. A key findings include:</w:t>
      </w:r>
      <w:r>
        <w:br w:type="textWrapping"/>
      </w:r>
      <w:r>
        <w:t xml:space="preserve">• Negation Handling: For the sentence 'Not exactly what I would call </w:t>
      </w:r>
      <w:bookmarkStart w:id="0" w:name="_GoBack"/>
      <w:bookmarkEnd w:id="0"/>
      <w:r>
        <w:t>a good product', the model predicted positive due to the token 'good', failing to properly weigh the negation 'not exactly'.</w:t>
      </w:r>
      <w:r>
        <w:br w:type="textWrapping"/>
      </w:r>
      <w:r>
        <w:t>• Sarcasm Detection: Sarcastic reviews were the most common source of error.</w:t>
      </w:r>
    </w:p>
    <w:p w14:paraId="6D1075DF">
      <w:pPr>
        <w:pStyle w:val="2"/>
      </w:pPr>
      <w:r>
        <w:t>12. Conclusion</w:t>
      </w:r>
    </w:p>
    <w:p w14:paraId="70E91A64">
      <w:r>
        <w:t>This project successfully met the requirements of building, evaluating, and explaining a Transformer-based NLP model. The use of DistilBERT proved efficient, while SHAP and LIME provided critical insights into the model's logic. The analysis highlights that while accuracy is high, there is still significant room for improvement in handling sarcasm and complex linguistic nuances.</w:t>
      </w:r>
    </w:p>
    <w:p w14:paraId="37E89EB7">
      <w:r>
        <w:br w:type="page"/>
      </w:r>
    </w:p>
    <w:p w14:paraId="3BD19F2C">
      <w:pPr>
        <w:pStyle w:val="2"/>
      </w:pPr>
      <w:r>
        <w:t>Appendix A: Code Snippets &amp; Implementation</w:t>
      </w:r>
    </w:p>
    <w:p w14:paraId="541410B2">
      <w:r>
        <w:t>Sample code used for the SHAP Explainer implementation:</w:t>
      </w:r>
    </w:p>
    <w:p w14:paraId="34817EE4">
      <w:r>
        <w:rPr>
          <w:rFonts w:ascii="Courier New" w:hAnsi="Courier New"/>
        </w:rPr>
        <w:t># SHAP Text Explainer</w:t>
      </w:r>
      <w:r>
        <w:rPr>
          <w:rFonts w:ascii="Courier New" w:hAnsi="Courier New"/>
        </w:rPr>
        <w:br w:type="textWrapping"/>
      </w:r>
      <w:r>
        <w:rPr>
          <w:rFonts w:ascii="Courier New" w:hAnsi="Courier New"/>
        </w:rPr>
        <w:t>explainer = shap.Explainer(model, tokenizer)</w:t>
      </w:r>
      <w:r>
        <w:rPr>
          <w:rFonts w:ascii="Courier New" w:hAnsi="Courier New"/>
        </w:rPr>
        <w:br w:type="textWrapping"/>
      </w:r>
      <w:r>
        <w:rPr>
          <w:rFonts w:ascii="Courier New" w:hAnsi="Courier New"/>
        </w:rPr>
        <w:t>shap_values = explainer(test_texts)</w:t>
      </w:r>
      <w:r>
        <w:rPr>
          <w:rFonts w:ascii="Courier New" w:hAnsi="Courier New"/>
        </w:rPr>
        <w:br w:type="textWrapping"/>
      </w:r>
      <w:r>
        <w:rPr>
          <w:rFonts w:ascii="Courier New" w:hAnsi="Courier New"/>
        </w:rPr>
        <w:t>shap.plots.text(shap_values[0])</w:t>
      </w:r>
    </w:p>
    <w:p w14:paraId="3984B13D">
      <w:r>
        <w:br w:type="textWrapping"/>
      </w:r>
      <w:r>
        <w:br w:type="textWrapping"/>
      </w:r>
      <w:r>
        <w:t>Sample code for Attention Extraction:</w:t>
      </w:r>
    </w:p>
    <w:p w14:paraId="7823429B">
      <w:r>
        <w:rPr>
          <w:rFonts w:ascii="Courier New" w:hAnsi="Courier New"/>
        </w:rPr>
        <w:t>outputs = model(**inputs, output_attentions=True)</w:t>
      </w:r>
      <w:r>
        <w:rPr>
          <w:rFonts w:ascii="Courier New" w:hAnsi="Courier New"/>
        </w:rPr>
        <w:br w:type="textWrapping"/>
      </w:r>
      <w:r>
        <w:rPr>
          <w:rFonts w:ascii="Courier New" w:hAnsi="Courier New"/>
        </w:rPr>
        <w:t>attention = outputs.attentions</w:t>
      </w:r>
      <w:r>
        <w:rPr>
          <w:rFonts w:ascii="Courier New" w:hAnsi="Courier New"/>
        </w:rPr>
        <w:br w:type="textWrapping"/>
      </w:r>
      <w:r>
        <w:rPr>
          <w:rFonts w:ascii="Courier New" w:hAnsi="Courier New"/>
        </w:rPr>
        <w:t>head_view(attention, tokens)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631298"/>
    <w:multiLevelType w:val="singleLevel"/>
    <w:tmpl w:val="DB631298"/>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5CE360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Umer</cp:lastModifiedBy>
  <dcterms:modified xsi:type="dcterms:W3CDTF">2026-05-08T14:44:58Z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DA591BD77E3641B98BDC9B03EE5BA6CB_12</vt:lpwstr>
  </property>
</Properties>
</file>