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Sample Slip 15 – Practical Solutions</w:t>
      </w:r>
    </w:p>
    <w:p>
      <w:pPr>
        <w:jc w:val="center"/>
      </w:pPr>
      <w:r>
        <w:rPr>
          <w:i/>
          <w:sz w:val="24"/>
        </w:rPr>
        <w:t>Answers prepared from sample.docx</w:t>
      </w:r>
    </w:p>
    <w:p>
      <w:pPr>
        <w:jc w:val="center"/>
      </w:pPr>
      <w:r>
        <w:rPr>
          <w:sz w:val="22"/>
        </w:rPr>
        <w:t>Prepared in an easy-to-read, exam-friendly format.</w:t>
        <w:br/>
      </w:r>
      <w:r>
        <w:rPr>
          <w:i/>
        </w:rPr>
        <w:t>Use only on authorized lab systems and academic test environments.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Format</w:t>
            </w:r>
          </w:p>
        </w:tc>
        <w:tc>
          <w:tcPr>
            <w:tcW w:type="dxa" w:w="4968"/>
          </w:tcPr>
          <w:p>
            <w:r>
              <w:t>Recite-and-perform practical answers</w:t>
            </w:r>
          </w:p>
        </w:tc>
      </w:tr>
      <w:tr>
        <w:tc>
          <w:tcPr>
            <w:tcW w:type="dxa" w:w="4968"/>
            <w:shd w:fill="D9EAF7"/>
          </w:tcPr>
          <w:p>
            <w:r>
              <w:t>Purpose</w:t>
            </w:r>
          </w:p>
        </w:tc>
        <w:tc>
          <w:tcPr>
            <w:tcW w:type="dxa" w:w="4968"/>
          </w:tcPr>
          <w:p>
            <w:r>
              <w:t>Quick writing help + command recall during viva/practical</w:t>
            </w:r>
          </w:p>
        </w:tc>
      </w:tr>
    </w:tbl>
    <w:p>
      <w:r>
        <w:br w:type="page"/>
      </w:r>
    </w:p>
    <w:p>
      <w:r>
        <w:rPr>
          <w:b/>
        </w:rPr>
        <w:t xml:space="preserve">Exam tip: </w:t>
      </w:r>
      <w:r>
        <w:t>Write the command first, then one or two short explanation lines. That usually looks neat and complete.</w:t>
      </w:r>
    </w:p>
    <w:p>
      <w:pPr>
        <w:pStyle w:val="Heading1"/>
      </w:pPr>
      <w:r>
        <w:t>Q1. John the Ripper / Medusa / Hydra</w:t>
      </w:r>
    </w:p>
    <w:p>
      <w:r>
        <w:rPr>
          <w:b/>
        </w:rPr>
        <w:t>a) Crack hashes in hash.txt</w:t>
      </w:r>
    </w:p>
    <w:p>
      <w:pPr>
        <w:spacing w:before="0" w:after="80"/>
      </w:pPr>
      <w:r>
        <w:rPr>
          <w:rFonts w:ascii="Consolas" w:hAnsi="Consolas"/>
          <w:sz w:val="20"/>
        </w:rPr>
        <w:t>john hash.txt</w:t>
      </w:r>
    </w:p>
    <w:p>
      <w:r>
        <w:rPr>
          <w:b/>
        </w:rPr>
        <w:t xml:space="preserve">Answer: </w:t>
      </w:r>
      <w:r>
        <w:t>John loads the hashes and starts cracking them automatically.</w:t>
      </w:r>
    </w:p>
    <w:p>
      <w:r>
        <w:rPr>
          <w:b/>
        </w:rPr>
        <w:t>b) Dictionary attack with rockyou.txt</w:t>
      </w:r>
    </w:p>
    <w:p>
      <w:pPr>
        <w:spacing w:before="0" w:after="80"/>
      </w:pPr>
      <w:r>
        <w:rPr>
          <w:rFonts w:ascii="Consolas" w:hAnsi="Consolas"/>
          <w:sz w:val="20"/>
        </w:rPr>
        <w:t>john --wordlist=/usr/share/wordlists/rockyou.txt hash.txt</w:t>
      </w:r>
    </w:p>
    <w:p>
      <w:r>
        <w:rPr>
          <w:b/>
        </w:rPr>
        <w:t xml:space="preserve">Answer: </w:t>
      </w:r>
      <w:r>
        <w:t>This checks common passwords from the wordlist against the hashes.</w:t>
      </w:r>
    </w:p>
    <w:p>
      <w:r>
        <w:rPr>
          <w:b/>
        </w:rPr>
        <w:t>c) Why dictionary attacks work</w:t>
      </w:r>
    </w:p>
    <w:p>
      <w:r>
        <w:rPr>
          <w:b/>
        </w:rPr>
        <w:t xml:space="preserve">Answer: </w:t>
      </w:r>
      <w:r>
        <w:t>They are effective because many users still choose simple, common, and reused passwords.</w:t>
      </w:r>
    </w:p>
    <w:p>
      <w:r>
        <w:rPr>
          <w:b/>
        </w:rPr>
        <w:t>d) Medusa brute-force on SSH (Metasploitable lab)</w:t>
      </w:r>
    </w:p>
    <w:p>
      <w:pPr>
        <w:spacing w:before="0" w:after="80"/>
      </w:pPr>
      <w:r>
        <w:rPr>
          <w:rFonts w:ascii="Consolas" w:hAnsi="Consolas"/>
          <w:sz w:val="20"/>
        </w:rPr>
        <w:t>medusa -h 192.168.56.101 -u msfadmin -P pass.txt -M ssh</w:t>
      </w:r>
    </w:p>
    <w:p>
      <w:r>
        <w:rPr>
          <w:b/>
        </w:rPr>
        <w:t xml:space="preserve">Answer: </w:t>
      </w:r>
      <w:r>
        <w:t>Medusa tries each password in pass.txt for the SSH service.</w:t>
      </w:r>
    </w:p>
    <w:p>
      <w:r>
        <w:rPr>
          <w:b/>
        </w:rPr>
        <w:t>e) Command using username msfadmin and pass.txt</w:t>
      </w:r>
    </w:p>
    <w:p>
      <w:pPr>
        <w:spacing w:before="0" w:after="80"/>
      </w:pPr>
      <w:r>
        <w:rPr>
          <w:rFonts w:ascii="Consolas" w:hAnsi="Consolas"/>
          <w:sz w:val="20"/>
        </w:rPr>
        <w:t>medusa -h 192.168.56.101 -u msfadmin -P pass.txt -M ssh</w:t>
      </w:r>
    </w:p>
    <w:p>
      <w:r>
        <w:rPr>
          <w:b/>
        </w:rPr>
        <w:t xml:space="preserve">Answer: </w:t>
      </w:r>
      <w:r>
        <w:t>Same as above because the username and password file are already specified.</w:t>
      </w:r>
    </w:p>
    <w:p>
      <w:r>
        <w:rPr>
          <w:b/>
        </w:rPr>
        <w:t>f) Hydra brute-force on SSH</w:t>
      </w:r>
    </w:p>
    <w:p>
      <w:pPr>
        <w:spacing w:before="0" w:after="80"/>
      </w:pPr>
      <w:r>
        <w:rPr>
          <w:rFonts w:ascii="Consolas" w:hAnsi="Consolas"/>
          <w:sz w:val="20"/>
        </w:rPr>
        <w:t>hydra -l msfadmin -P pass.txt ssh://192.168.56.101</w:t>
      </w:r>
    </w:p>
    <w:p>
      <w:r>
        <w:rPr>
          <w:b/>
        </w:rPr>
        <w:t xml:space="preserve">Answer: </w:t>
      </w:r>
      <w:r>
        <w:t>Hydra performs SSH login attempts and prints valid credentials if found.</w:t>
      </w:r>
    </w:p>
    <w:p/>
    <w:p>
      <w:pPr>
        <w:pStyle w:val="Heading1"/>
      </w:pPr>
      <w:r>
        <w:t>Q2. Banner Grabbing with Telnet and Netcat</w:t>
      </w:r>
    </w:p>
    <w:p>
      <w:r>
        <w:rPr>
          <w:b/>
        </w:rPr>
        <w:t>a) Telnet banner grabbing on port 80</w:t>
      </w:r>
    </w:p>
    <w:p>
      <w:pPr>
        <w:spacing w:before="0" w:after="80"/>
      </w:pPr>
      <w:r>
        <w:rPr>
          <w:rFonts w:ascii="Consolas" w:hAnsi="Consolas"/>
          <w:sz w:val="20"/>
        </w:rPr>
        <w:t>telnet 192.168.56.101 80</w:t>
      </w:r>
    </w:p>
    <w:p>
      <w:pPr>
        <w:spacing w:before="0" w:after="80"/>
      </w:pPr>
      <w:r>
        <w:rPr>
          <w:rFonts w:ascii="Consolas" w:hAnsi="Consolas"/>
          <w:sz w:val="20"/>
        </w:rPr>
        <w:t>HEAD / HTTP/1.0</w:t>
      </w:r>
    </w:p>
    <w:p>
      <w:pPr>
        <w:spacing w:before="0" w:after="80"/>
      </w:pPr>
      <w:r>
        <w:rPr>
          <w:rFonts w:ascii="Consolas" w:hAnsi="Consolas"/>
          <w:sz w:val="20"/>
        </w:rPr>
      </w:r>
    </w:p>
    <w:p>
      <w:r>
        <w:rPr>
          <w:b/>
        </w:rPr>
        <w:t xml:space="preserve">Answer: </w:t>
      </w:r>
      <w:r>
        <w:t>After pressing Enter twice, the server returns HTTP headers such as Server, Date, and Content-Type.</w:t>
      </w:r>
    </w:p>
    <w:p>
      <w:r>
        <w:rPr>
          <w:b/>
        </w:rPr>
        <w:t>b) Connect to FTP on port 21 and identify banner</w:t>
      </w:r>
    </w:p>
    <w:p>
      <w:pPr>
        <w:spacing w:before="0" w:after="80"/>
      </w:pPr>
      <w:r>
        <w:rPr>
          <w:rFonts w:ascii="Consolas" w:hAnsi="Consolas"/>
          <w:sz w:val="20"/>
        </w:rPr>
        <w:t>telnet 192.168.56.101 21</w:t>
      </w:r>
    </w:p>
    <w:p>
      <w:r>
        <w:rPr>
          <w:b/>
        </w:rPr>
        <w:t xml:space="preserve">Answer: </w:t>
      </w:r>
      <w:r>
        <w:t>Typical banner: 220 (vsFTPd 2.3.4). The banner can reveal the FTP software name, version, and service status.</w:t>
      </w:r>
    </w:p>
    <w:p>
      <w:r>
        <w:rPr>
          <w:b/>
        </w:rPr>
        <w:t>c) Netcat banner grabbing on port 22</w:t>
      </w:r>
    </w:p>
    <w:p>
      <w:pPr>
        <w:spacing w:before="0" w:after="80"/>
      </w:pPr>
      <w:r>
        <w:rPr>
          <w:rFonts w:ascii="Consolas" w:hAnsi="Consolas"/>
          <w:sz w:val="20"/>
        </w:rPr>
        <w:t>nc -v 192.168.56.101 22</w:t>
      </w:r>
    </w:p>
    <w:p>
      <w:r>
        <w:rPr>
          <w:b/>
        </w:rPr>
        <w:t xml:space="preserve">Answer: </w:t>
      </w:r>
      <w:r>
        <w:t>Typical output shows the SSH service banner, for example OpenSSH version details.</w:t>
      </w:r>
    </w:p>
    <w:p>
      <w:r>
        <w:rPr>
          <w:b/>
        </w:rPr>
        <w:t>d) Netcat on port 80 for HTTP headers</w:t>
      </w:r>
    </w:p>
    <w:p>
      <w:pPr>
        <w:spacing w:before="0" w:after="80"/>
      </w:pPr>
      <w:r>
        <w:rPr>
          <w:rFonts w:ascii="Consolas" w:hAnsi="Consolas"/>
          <w:sz w:val="20"/>
        </w:rPr>
        <w:t>nc 192.168.56.101 80</w:t>
      </w:r>
    </w:p>
    <w:p>
      <w:pPr>
        <w:spacing w:before="0" w:after="80"/>
      </w:pPr>
      <w:r>
        <w:rPr>
          <w:rFonts w:ascii="Consolas" w:hAnsi="Consolas"/>
          <w:sz w:val="20"/>
        </w:rPr>
        <w:t>HEAD / HTTP/1.0</w:t>
      </w:r>
    </w:p>
    <w:p>
      <w:pPr>
        <w:spacing w:before="0" w:after="80"/>
      </w:pPr>
      <w:r>
        <w:rPr>
          <w:rFonts w:ascii="Consolas" w:hAnsi="Consolas"/>
          <w:sz w:val="20"/>
        </w:rPr>
      </w:r>
    </w:p>
    <w:p>
      <w:r>
        <w:rPr>
          <w:b/>
        </w:rPr>
        <w:t xml:space="preserve">Answer: </w:t>
      </w:r>
      <w:r>
        <w:t>Netcat is more flexible than Telnet for security testing because it is lightweight, scriptable, and commonly used in VAPT workflows.</w:t>
      </w:r>
    </w:p>
    <w:p/>
    <w:p>
      <w:pPr>
        <w:pStyle w:val="Heading1"/>
      </w:pPr>
      <w:r>
        <w:t>Q3. Viva – one-line revision points</w:t>
      </w:r>
    </w:p>
    <w:p>
      <w:pPr>
        <w:pStyle w:val="ListBullet"/>
      </w:pPr>
      <w:r>
        <w:t>John the Ripper: password cracking tool.</w:t>
      </w:r>
    </w:p>
    <w:p>
      <w:pPr>
        <w:pStyle w:val="ListBullet"/>
      </w:pPr>
      <w:r>
        <w:t>Medusa and Hydra: brute-force login testing tools.</w:t>
      </w:r>
    </w:p>
    <w:p>
      <w:pPr>
        <w:pStyle w:val="ListBullet"/>
      </w:pPr>
      <w:r>
        <w:t>Banner grabbing: finding service name and version.</w:t>
      </w:r>
    </w:p>
    <w:p>
      <w:pPr>
        <w:pStyle w:val="ListBullet"/>
      </w:pPr>
      <w:r>
        <w:t>Telnet and Netcat: simple tools to talk to a network service.</w:t>
      </w:r>
    </w:p>
    <w:p>
      <w:pPr>
        <w:pStyle w:val="ListBullet"/>
      </w:pPr>
      <w:r>
        <w:t>Dictionary attack: checking common passwords from a wordlist.</w:t>
      </w:r>
    </w:p>
    <w:sectPr w:rsidR="00FC693F" w:rsidRPr="0006063C" w:rsidSect="00034616">
      <w:footerReference w:type="default" r:id="rId9"/>
      <w:pgSz w:w="12240" w:h="15840"/>
      <w:pgMar w:top="1008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Sample Slip 15 – Practical Solutions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