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F172A"/>
          <w:sz w:val="28"/>
        </w:rPr>
        <w:t>RESIDENTIAL TENANCY AGREEMENT - DRAFT 2</w:t>
      </w:r>
    </w:p>
    <w:p>
      <w:pPr>
        <w:jc w:val="center"/>
      </w:pPr>
      <w:r>
        <w:rPr>
          <w:rFonts w:ascii="Times New Roman" w:hAnsi="Times New Roman"/>
          <w:i/>
          <w:color w:val="475569"/>
          <w:sz w:val="20"/>
        </w:rPr>
        <w:t>Landlord Counter-Proposal with Altered Financials</w:t>
      </w:r>
    </w:p>
    <w:p>
      <w:pPr>
        <w:spacing w:after="160"/>
      </w:pPr>
      <w:r>
        <w:rPr>
          <w:rFonts w:ascii="Times New Roman" w:hAnsi="Times New Roman"/>
          <w:color w:val="333333"/>
          <w:sz w:val="19"/>
        </w:rPr>
        <w:t>RESIDENTIAL TENANCY AGREEMENT - DRAFT 2 (LANDLORD REVISED COUNTER-DRAFT)</w:t>
        <w:br/>
        <w:t>PROPERTY: Flat 201, Shanti Niketan, Indiranagar, Bengaluru - 560038</w:t>
        <w:br/>
        <w:t>LANDLORD: Sri. K. R. Sharma (PAN: AKRPS1234A) | TENANT: Smt. Priya Nair (PAN: APRPN5678B)</w:t>
      </w:r>
    </w:p>
    <w:p>
      <w:r>
        <w:rPr>
          <w:rFonts w:ascii="Times New Roman" w:hAnsi="Times New Roman"/>
          <w:b/>
          <w:color w:val="0F172A"/>
          <w:sz w:val="21"/>
        </w:rPr>
        <w:t>1. MONTHLY RENT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Tenant agrees to pay an increased monthly rent of Rs. 29,000/- on or before the 5th day of each calendar month via UPI/NEFT.</w:t>
      </w:r>
    </w:p>
    <w:p>
      <w:r>
        <w:rPr>
          <w:rFonts w:ascii="Times New Roman" w:hAnsi="Times New Roman"/>
          <w:b/>
          <w:color w:val="0F172A"/>
          <w:sz w:val="21"/>
        </w:rPr>
        <w:t>2. SECURITY DEPOSIT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Tenant has deposited a non-negotiable security deposit of Rs. 1,00,000/- (approx 3.5 months rent), to be refunded within 60 days of lease expiry after deducting mandatory painting charges.</w:t>
      </w:r>
    </w:p>
    <w:p>
      <w:r>
        <w:rPr>
          <w:rFonts w:ascii="Times New Roman" w:hAnsi="Times New Roman"/>
          <w:b/>
          <w:color w:val="0F172A"/>
          <w:sz w:val="21"/>
        </w:rPr>
        <w:t>3. NOTICE PERIOD &amp; EXIT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Tenant must serve a mandatory 90 days prior written notice before vacating the premises. The Landlord may terminate with 15 days notice.</w:t>
      </w:r>
    </w:p>
    <w:p>
      <w:r>
        <w:rPr>
          <w:rFonts w:ascii="Times New Roman" w:hAnsi="Times New Roman"/>
          <w:b/>
          <w:color w:val="0F172A"/>
          <w:sz w:val="21"/>
        </w:rPr>
        <w:t>4. STRUCTURAL MAINTENANCE &amp; REPAIRS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All repairs including electrical, plumbing, seepage, internal maintenance, and painting shall be borne exclusively by the Tenant.</w:t>
      </w:r>
    </w:p>
    <w:p>
      <w:r>
        <w:rPr>
          <w:rFonts w:ascii="Times New Roman" w:hAnsi="Times New Roman"/>
          <w:b/>
          <w:color w:val="0F172A"/>
          <w:sz w:val="21"/>
        </w:rPr>
        <w:t>5. LATE FEE &amp; PENAL CHARGES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In case of delayed rent payment beyond the 5th, penal interest at 18.00% per annum shall be charged on daily compounding rests until full clearance.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