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8"/>
        </w:rPr>
        <w:t>MINISTRY OF AGRICULTURE &amp; FARMERS WELFARE</w:t>
      </w:r>
    </w:p>
    <w:p>
      <w:pPr>
        <w:jc w:val="center"/>
      </w:pPr>
      <w:r>
        <w:rPr>
          <w:rFonts w:ascii="Times New Roman" w:hAnsi="Times New Roman"/>
          <w:i/>
          <w:color w:val="475569"/>
          <w:sz w:val="20"/>
        </w:rPr>
        <w:t>PM-KISAN Operational Guidelines &amp; Recovery Circular</w:t>
      </w:r>
    </w:p>
    <w:p>
      <w:pPr>
        <w:spacing w:after="160"/>
      </w:pPr>
      <w:r>
        <w:rPr>
          <w:rFonts w:ascii="Times New Roman" w:hAnsi="Times New Roman"/>
          <w:color w:val="333333"/>
          <w:sz w:val="19"/>
        </w:rPr>
        <w:t>GOVERNMENT OF INDIA · MINISTRY OF AGRICULTURE &amp; FARMERS WELFARE</w:t>
        <w:br/>
        <w:t>CIRCULAR NO: AGRI/PM-KISAN/2026/EX-04 | DATE: 01-July-2026</w:t>
        <w:br/>
        <w:t>SUBJECT: Operational Guidelines, Mandatory e-KYC Verification, and Recovery Framework</w:t>
        <w:br/>
        <w:t>PORTAL: https://pmkisan.gov.in | HELPLINE: 155261 / 011-24300606</w:t>
      </w:r>
    </w:p>
    <w:p>
      <w:r>
        <w:rPr>
          <w:rFonts w:ascii="Times New Roman" w:hAnsi="Times New Roman"/>
          <w:b/>
          <w:color w:val="0F172A"/>
          <w:sz w:val="21"/>
        </w:rPr>
        <w:t>1. DIRECT BENEFIT TRANSFER STRUCTURE</w:t>
        <w:br/>
      </w:r>
    </w:p>
    <w:p>
      <w:pPr>
        <w:spacing w:after="120"/>
      </w:pPr>
      <w:r>
        <w:rPr>
          <w:rFonts w:ascii="Times New Roman" w:hAnsi="Times New Roman"/>
          <w:color w:val="333333"/>
          <w:sz w:val="19"/>
        </w:rPr>
        <w:t>Under Pradhan Mantri Kisan Samman Nidhi (PM-KISAN), eligible landholding farmer families receive income support of Rs. 6,000/- per annum payable in three equal instalments of Rs. 2,000/- every four months directly into Aadhaar-seeded bank accounts via PFMS.</w:t>
      </w:r>
    </w:p>
    <w:p>
      <w:r>
        <w:rPr>
          <w:rFonts w:ascii="Times New Roman" w:hAnsi="Times New Roman"/>
          <w:b/>
          <w:color w:val="0F172A"/>
          <w:sz w:val="21"/>
        </w:rPr>
        <w:t>2. STATUTORY EXCLUSION CATEGORIES</w:t>
        <w:br/>
      </w:r>
    </w:p>
    <w:p>
      <w:pPr>
        <w:spacing w:after="120"/>
      </w:pPr>
      <w:r>
        <w:rPr>
          <w:rFonts w:ascii="Times New Roman" w:hAnsi="Times New Roman"/>
          <w:color w:val="333333"/>
          <w:sz w:val="19"/>
        </w:rPr>
        <w:t>The following categories are strictly excluded from receiving scheme benefits: (a) All Institutional Landholders; (b) Former and present holders of Constitutional posts; (c) Former and present Ministers, MPs, MLAs, MLCs, Mayors; (d) Serving or retired officers and employees of Central/State Government, Autonomous Bodies, and PSUs; (e) All Persons who paid Income Tax in the last assessment year (PAN database verification); (f) All Retired Pensioners with monthly pension of Rs. 10,000/- or more; (g) Registered Professionals (Doctors, Engineers, Lawyers, Chartered Accountants, Architects).</w:t>
      </w:r>
    </w:p>
    <w:p>
      <w:r>
        <w:rPr>
          <w:rFonts w:ascii="Times New Roman" w:hAnsi="Times New Roman"/>
          <w:b/>
          <w:color w:val="0F172A"/>
          <w:sz w:val="21"/>
        </w:rPr>
        <w:t>3. MANDATORY LAND SEEDING &amp; BIOMETRIC e-KYC</w:t>
        <w:br/>
      </w:r>
    </w:p>
    <w:p>
      <w:pPr>
        <w:spacing w:after="120"/>
      </w:pPr>
      <w:r>
        <w:rPr>
          <w:rFonts w:ascii="Times New Roman" w:hAnsi="Times New Roman"/>
          <w:color w:val="333333"/>
          <w:sz w:val="19"/>
        </w:rPr>
        <w:t>Benefits shall be disbursed only to farmers whose land records are seeded in State revenue registries (RoR/Bhulekh) and whose biometric e-KYC is completed. Unseeded accounts shall be placed in dormant status without right to claim retroactive arrears.</w:t>
      </w:r>
    </w:p>
    <w:p>
      <w:r>
        <w:rPr>
          <w:rFonts w:ascii="Times New Roman" w:hAnsi="Times New Roman"/>
          <w:b/>
          <w:color w:val="0F172A"/>
          <w:sz w:val="21"/>
        </w:rPr>
        <w:t>4. RECOVERY UNDER REVENUE RECOVERY ACT &amp; IPC 420</w:t>
        <w:br/>
      </w:r>
    </w:p>
    <w:p>
      <w:pPr>
        <w:spacing w:after="120"/>
      </w:pPr>
      <w:r>
        <w:rPr>
          <w:rFonts w:ascii="Times New Roman" w:hAnsi="Times New Roman"/>
          <w:color w:val="333333"/>
          <w:sz w:val="19"/>
        </w:rPr>
        <w:t>Any ineligible individual receiving financial benefits through false declaration or concealment of income tax status shall be liable to refund all disbursed amounts in full. State Nodal Officers shall issue 15-day demand notices, failing which recovery shall be enforced as arrears of land revenue under the Revenue Recovery Act 1890 alongside criminal proceedings under Section 420 of Indian Penal Code.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