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Strategic and innovative technology leader with extensive experience as a CTO, adept at driving growth and shaping technology vision. Proven track record in developing scalable platforms, building high-performing engineering teams, and overseeing technical operations. Committed to implementing data security best practices and evaluating emerging technologies to enhance organizational success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spearheaded the development and implementation of cutting-edge AI initiatives, aligning them with business objectives to drive innovation and competitive advantage. My role involved collaborating with cross-functional teams to integrate AI solutions into existing products and services while fostering a culture of data-driven decision-making. I guided strategic partnerships and investments in emerging technologies, ensuring our AI capabilities remained at the forefront of the industry. Additionally, I mentored teams, promoting skill development and knowledge sharing, to enhance our organizational expertise in AI and machine learning.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Leadership, Strategic Planning, Technology Vision, Scalable Platform Development, Technical Operations Management, Team Building, Data Security, Compliance Best Practices, Innovation, Emerging Technologies Evaluation, Cross-Functional Collaboration, Agile Methodologies, Problem Solving, Communication, Decision Making.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