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defining and executing innovative strategies as a Chief Technology Officer. Proven track record in developing scalable platforms, building high-performing engineering teams, and overseeing technical operations. Adept at driving innovation and implementing best practices in data security and compliance to fuel growth in fast-paced environments. Excited to shape Ambiance’s technology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the Senior Director of AI Strategy at IBM, I was responsible for defining and driving the company’s AI initiatives to enhance business value and competitive advantage. My role encompassed developing a comprehensive AI strategy that aligned with broader organizational goals, ensuring that AI solutions were not only innovative but also scalable and adaptable to market demands.</w:t>
        <w:br/>
        <w:br/>
        <w:t>I led cross-functional teams to integrate AI technologies into existing products and services, focusing on creating seamless user experiences and optimizing operations. By fostering collaboration with stakeholders across departments, I ensured alignment between AI projects and business objectives. My position required me to stay abreast of emerging trends in AI, guiding the evaluation and implementation of cutting-edge technologies to maintain IBM's leadership in the field.</w:t>
        <w:br/>
        <w:br/>
        <w:t>A critical part of my role involved mentoring and developing talent within the AI domain, promoting a culture of continuous learning and innovation. Through strategic partnerships and thought leadership, I represented IBM at industry conferences, contributing to the dialogue on responsible AI practices and ethical considerations. Overall, my tenure in this role was defined by a commitment to leveraging AI for transformative business outcomes and driving a forward-thinking agenda within the company.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Compliance, Technical Operations Oversight, Emerging Technology Evaluation, Cross-Functional Collaboration, Agile Methodologies, Problem Solving, Communication Skills, Project Management, Risk Assessment, Budget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