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as a Chief Technology Officer (CTO), adept at shaping and executing innovative technology strategies. Proven track record in developing scalable platforms, building high-performing engineering teams, and overseeing technical operations. Strong strategic mindset complemented by technical expertise to drive innovation in fast-paced environments. Committed to excellence in data security and compliance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 xml:space="preserve">As the Senior Director of AI Strategy at IBM, I was responsible for driving the vision and execution of AI initiatives across the organization. This role required a blend of strategic insight and technical expertise, enabling me to architect AI solutions that align with business objectives and enhance operational efficiency. </w:t>
        <w:br/>
        <w:br/>
        <w:t xml:space="preserve">My primary responsibilities included defining the AI roadmap, leading cross-functional teams to innovate and implement AI-driven projects, and fostering a culture of data-driven decision-making. I collaborated closely with product, engineering, and marketing teams to ensure AI capabilities were integrated seamlessly into our offerings. </w:t>
        <w:br/>
        <w:br/>
        <w:t xml:space="preserve">In addition, I evaluated emerging AI technologies and trends, assessing their potential impact on our strategic goals. I also championed ethical AI practices, ensuring compliance with regulatory standards and promoting transparency in AI deployments. </w:t>
        <w:br/>
        <w:br/>
        <w:t>This position required not only a deep understanding of AI methodologies but also exceptional leadership skills to inspire and guide a diverse team of professionals. Overall, my role was pivotal in positioning IBM as a leader in AI, driving growth and customer satisfaction in a rapidly evolving technological landscape.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 Compliance, Technical Operations Oversight, Emerging Technology Evaluation, Cross-Functional Collaboration, Agile Methodologies, Cloud Computing, Software Architecture, Problem Solving, Communication Skills, Project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