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Strategic and results-driven Chief Technology Officer with extensive experience overseeing technical strategies and driving alignment with business goals. Proven ability to implement innovative technologies for competitive advantage while ensuring system efficiency and data protection. Excellent communicator skilled in stakeholder engagement, fostering collaboration, and delivering impactful public presentations to enhance organizational performance at Victory.</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Advise fortune 500 executives on implementation and utilization of enterprise-class generative ai solutions including ibm watson and watsonx technologies.</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 xml:space="preserve">$SKILLS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Pr>
        <w:sz w:val="22"/>
      </w:rPr>
      <w:t>Reid Thomas, master</w:t>
      <w:br/>
      <w:t>Missouri City, TX · reid@reidthomas.net · +1111111111</w:t>
      <w:b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