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Professional Summary</w:t>
      </w:r>
    </w:p>
    <w:p>
      <w:pPr>
        <w:pStyle w:val="Normal1"/>
        <w:rPr>
          <w:sz w:val="20"/>
          <w:szCs w:val="20"/>
        </w:rPr>
      </w:pPr>
      <w:r>
        <w:t>Dynamic Chief Technology Officer with over 2 years of experience leading technical strategies aligned with business goals. Proven expertise in technology implementation, budget management, and stakeholder communication. Strong strategic thinker with a solid understanding of technological trends and a collaborative leadership style. Committed to enhancing organizational efficiency and driving competitive advantage through innovative solutions.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bookmarkStart w:id="0" w:name="_gjdgxs"/>
      <w:bookmarkEnd w:id="0"/>
      <w:r>
        <w:rPr>
          <w:b/>
          <w:sz w:val="23"/>
          <w:szCs w:val="23"/>
        </w:rPr>
        <w:t>Work Experience</w:t>
      </w:r>
    </w:p>
    <w:p>
      <w:pPr>
        <w:pStyle w:val="Normal1"/>
        <w:tabs>
          <w:tab w:val="clear" w:pos="720"/>
          <w:tab w:val="right" w:pos="10800" w:leader="none"/>
        </w:tabs>
        <w:rPr>
          <w:sz w:val="20"/>
          <w:szCs w:val="20"/>
        </w:rPr>
      </w:pPr>
      <w:r>
        <w:rPr>
          <w:color w:val="FFFFFF"/>
          <w:sz w:val="2"/>
          <w:szCs w:val="2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br/>
              <w:t>Senior director of ai strategy</w:t>
            </w:r>
            <w:r>
              <w:rPr>
                <w:sz w:val="20"/>
              </w:rPr>
              <w:br/>
              <w:t>Advise fortune 500 executives on implementation and utilization of enterprise-class generative ai solutions including ibm watson and watsonx technologies.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2023 - Present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Lamar University</w:t>
            </w:r>
            <w:r>
              <w:rPr>
                <w:sz w:val="20"/>
              </w:rPr>
              <w:br/>
              <w:t>Masters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2013 - 2015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Google</w:t>
            </w:r>
            <w:r>
              <w:rPr>
                <w:sz w:val="20"/>
              </w:rPr>
              <w:br/>
              <w:t>Certificate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2013-01-10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tabs>
          <w:tab w:val="clear" w:pos="720"/>
          <w:tab w:val="right" w:pos="10800" w:leader="none"/>
        </w:tabs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374" w:top="431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4" w:space="1" w:color="000000"/>
      </w:pBdr>
      <w:rPr>
        <w:b/>
        <w:b/>
        <w:sz w:val="23"/>
        <w:szCs w:val="23"/>
      </w:rPr>
    </w:pPr>
    <w:r>
      <w:rPr>
        <w:b/>
        <w:sz w:val="23"/>
        <w:szCs w:val="23"/>
      </w:rPr>
      <w:t>Skills</w:t>
    </w:r>
  </w:p>
  <w:p>
    <w:pPr>
      <w:pStyle w:val="Normal1"/>
      <w:tabs>
        <w:tab w:val="clear" w:pos="720"/>
        <w:tab w:val="right" w:pos="10800" w:leader="none"/>
      </w:tabs>
      <w:rPr/>
    </w:pPr>
    <w:r>
      <w:t>Strategic Thinking, Business Acumen, Leadership, Communication, Public Speaking, Technological Analysis, Budget Management, Quality Assurance, Data Protection, Stakeholder Engagement, Problem-Solving, Technological Trends Awareness, IT Infrastructure Monitoring, Organizational Skills, Competitive Advantage Implementation.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5040" w:leader="none"/>
      </w:tabs>
      <w:jc w:val="center"/>
      <w:rPr>
        <w:sz w:val="8"/>
        <w:szCs w:val="8"/>
      </w:rPr>
    </w:pPr>
    <w:r>
      <w:t xml:space="preserve">Reid Thomas </w:t>
      <w:br/>
      <w:t>Missouri City, TX · reid@reidthomas.net · +1111111111</w:t>
      <w:b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41</Words>
  <Characters>696</Characters>
  <CharactersWithSpaces>731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2024-12-27T17:50:29Z</dcterms:modified>
  <cp:revision>1</cp:revision>
  <dc:subject/>
  <dc:title/>
</cp:coreProperties>
</file>