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HR Technology Lead Analyst with robust expertise in market trend analysis and strategic implementation of HR technology solutions. Proven track record in advising senior executives and enhancing organizational performance. Adept at conducting in-depth research and generating compelling content, while serving as a trusted advisor and mentor to junior colleagues. Engaged speaker at conferences, driving thought leadership within the HR tech landscape.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As the Senior Director of AI Strategy at IBM, my role was to spearhead the development and execution of cutting-edge AI initiatives that aligned with our corporate vision. I collaborated with cross-functional teams to identify opportunities where AI could drive innovation and efficiency, enhancing our product offerings. I conducted in-depth market research to analyze trends and customer needs, enabling data-driven decision-making. My responsibilities included formulating strategies to integrate AI technologies into our business processes, ensuring scalability and sustainability. I also served as a key advisor to senior leadership, providing insights and recommendations on AI investments and partnerships. Engaging with industry stakeholders, I represented IBM at conferences and forums, promoting our AI capabilities. Additionally, I mentored and guided a team of AI professionals, fostering a culture of continuous learning and innovation. My tenure was marked by significant advancements in AI deployment, positioning IBM as a leader in the AI landscape.</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HR Technology Strategy, Market Trend Analysis, Executive Communication, Research and Analysis, Vendor Selection, Systems Implementation, Stakeholder Engagement, Presentation Skills, Content Generation, Coaching and Mentoring, Problem Solving, Client Relationship Management, Data Interpretation, Strategic Thinking, Adaptability.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