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and implementing strategic insights. Proven ability to liaise between clients and technical teams, ensuring effective communication and collaboration. Expertise in IT asset lifecycle management, best practice assessments, and vendor relationship management, driving digital transformation for diverse global clients.</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IT Asset Management, Vendor Management, Best Practices Assessment, Network Architecture Documentation, Cross-Functional Collaboration, Problem Solving, Strategic Planning, Microsoft Technologies, Data Flow Analysis, Stakeholder Engagement, Team Leadership, Adaptability.</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