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driving digital transformation in Microsoft-centric environments. Adept at collaborating across diverse teams, conducting assessments, and optimizing IT asset lifecycles. Proven ability to translate client needs into actionable strategies while enhancing communication and management of vendor relationships to ensure seamless technical execution.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Vendor Management, IT Asset Lifecycle Management, Network Architecture Documentation, Best Practices Assessment, Collaboration Skills, Problem-Solving, Microsoft Technologies Expertise, Project Management, Data Flow Analysis, Stakeholder Engagement, Technical Liaison, Strategic Planning.</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