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client technical relationships and optimizing IT asset lifecycles. Adept at bridging communication between client organizations and technical teams, ensuring seamless implementation of insights. Proven ability to conduct best practice assessments and manage vendor relationships, driving digital transformation for global clients in a Microsoft-centric environment.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IT Asset Management, Vendor Relationship Management, Best Practice Assessment, Network Architecture Documentation, Cross-Functional Collaboration, Problem Solving, Strategic Planning, Microsoft Technologies, Data Flow Analysis, Stakeholder Engagement, Team Leadership, Adaptability.</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