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423AA">
      <w:pPr>
        <w:spacing w:before="160" w:after="240" w:afterLines="100" w:line="360" w:lineRule="exact"/>
        <w:jc w:val="center"/>
        <w:rPr>
          <w:rFonts w:ascii="方正小标宋简体" w:hAnsi="Times New Roman" w:eastAsia="方正小标宋简体"/>
          <w:b/>
          <w:bCs w:val="0"/>
          <w:kern w:val="2"/>
          <w:sz w:val="36"/>
          <w:szCs w:val="36"/>
        </w:rPr>
      </w:pPr>
      <w:r>
        <w:rPr>
          <w:rFonts w:hint="eastAsia" w:ascii="方正小标宋简体" w:hAnsi="Times New Roman" w:eastAsia="方正小标宋简体"/>
          <w:b/>
          <w:bCs w:val="0"/>
          <w:kern w:val="2"/>
          <w:sz w:val="36"/>
          <w:szCs w:val="36"/>
        </w:rPr>
        <w:t>东北大学毕业设计（论文）中期报告</w:t>
      </w:r>
    </w:p>
    <w:p w14:paraId="5BB92040">
      <w:pPr>
        <w:spacing w:before="120" w:beforeLines="50" w:after="120" w:afterLines="50"/>
        <w:jc w:val="center"/>
        <w:rPr>
          <w:rFonts w:hint="eastAsia" w:ascii="宋体" w:eastAsia="宋体"/>
          <w:b/>
          <w:spacing w:val="-30"/>
          <w:sz w:val="21"/>
          <w:szCs w:val="21"/>
        </w:rPr>
      </w:pPr>
      <w:r>
        <w:rPr>
          <w:rFonts w:hint="eastAsia" w:ascii="宋体" w:eastAsia="宋体"/>
        </w:rPr>
        <w:t xml:space="preserve">                                                       2026年4月1</w:t>
      </w:r>
      <w:r>
        <w:rPr>
          <w:rFonts w:hint="eastAsia" w:ascii="宋体"/>
          <w:lang w:val="en-US" w:eastAsia="zh-CN"/>
        </w:rPr>
        <w:t>0</w:t>
      </w:r>
      <w:bookmarkStart w:id="0" w:name="_GoBack"/>
      <w:bookmarkEnd w:id="0"/>
      <w:r>
        <w:rPr>
          <w:rFonts w:hint="eastAsia" w:ascii="宋体" w:eastAsia="宋体"/>
        </w:rPr>
        <w:t>日</w:t>
      </w:r>
    </w:p>
    <w:tbl>
      <w:tblPr>
        <w:tblStyle w:val="8"/>
        <w:tblW w:w="101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
        <w:gridCol w:w="1729"/>
        <w:gridCol w:w="1173"/>
        <w:gridCol w:w="1534"/>
        <w:gridCol w:w="1923"/>
        <w:gridCol w:w="3346"/>
      </w:tblGrid>
      <w:tr w14:paraId="0495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471" w:type="dxa"/>
            <w:vAlign w:val="center"/>
          </w:tcPr>
          <w:p w14:paraId="68171BE0">
            <w:pPr>
              <w:jc w:val="center"/>
              <w:rPr>
                <w:rFonts w:hint="eastAsia" w:ascii="宋体" w:eastAsia="宋体"/>
              </w:rPr>
            </w:pPr>
            <w:r>
              <w:rPr>
                <w:rFonts w:hint="eastAsia" w:ascii="宋体" w:eastAsia="宋体"/>
              </w:rPr>
              <w:t>学  号</w:t>
            </w:r>
          </w:p>
        </w:tc>
        <w:tc>
          <w:tcPr>
            <w:tcW w:w="1729" w:type="dxa"/>
            <w:vAlign w:val="center"/>
          </w:tcPr>
          <w:p w14:paraId="59955E67">
            <w:pPr>
              <w:jc w:val="center"/>
              <w:rPr>
                <w:rFonts w:hint="eastAsia" w:ascii="宋体" w:eastAsia="宋体"/>
              </w:rPr>
            </w:pPr>
            <w:r>
              <w:rPr>
                <w:rFonts w:hint="eastAsia" w:ascii="宋体" w:eastAsia="宋体"/>
                <w:lang w:val="en-US" w:eastAsia="zh-CN"/>
              </w:rPr>
              <w:t>20226534</w:t>
            </w:r>
          </w:p>
        </w:tc>
        <w:tc>
          <w:tcPr>
            <w:tcW w:w="1173" w:type="dxa"/>
            <w:vAlign w:val="center"/>
          </w:tcPr>
          <w:p w14:paraId="52538330">
            <w:pPr>
              <w:jc w:val="center"/>
              <w:rPr>
                <w:rFonts w:hint="eastAsia" w:ascii="宋体" w:eastAsia="宋体"/>
              </w:rPr>
            </w:pPr>
            <w:r>
              <w:rPr>
                <w:rFonts w:hint="eastAsia" w:ascii="宋体" w:eastAsia="宋体"/>
              </w:rPr>
              <w:t>姓  名</w:t>
            </w:r>
          </w:p>
        </w:tc>
        <w:tc>
          <w:tcPr>
            <w:tcW w:w="1534" w:type="dxa"/>
            <w:vAlign w:val="center"/>
          </w:tcPr>
          <w:p w14:paraId="68DCA63F">
            <w:pPr>
              <w:jc w:val="center"/>
              <w:rPr>
                <w:rFonts w:hint="eastAsia" w:ascii="宋体" w:eastAsia="宋体"/>
              </w:rPr>
            </w:pPr>
            <w:r>
              <w:rPr>
                <w:rFonts w:hint="eastAsia" w:ascii="宋体" w:eastAsia="宋体"/>
                <w:lang w:val="en-US" w:eastAsia="zh-CN"/>
              </w:rPr>
              <w:t>谢北</w:t>
            </w:r>
          </w:p>
        </w:tc>
        <w:tc>
          <w:tcPr>
            <w:tcW w:w="1923" w:type="dxa"/>
            <w:vAlign w:val="center"/>
          </w:tcPr>
          <w:p w14:paraId="73E2A89C">
            <w:pPr>
              <w:jc w:val="center"/>
              <w:rPr>
                <w:rFonts w:hint="eastAsia" w:ascii="宋体" w:eastAsia="宋体"/>
              </w:rPr>
            </w:pPr>
            <w:r>
              <w:rPr>
                <w:rFonts w:hint="eastAsia" w:ascii="宋体" w:eastAsia="宋体"/>
              </w:rPr>
              <w:t>班  级</w:t>
            </w:r>
          </w:p>
        </w:tc>
        <w:tc>
          <w:tcPr>
            <w:tcW w:w="3346" w:type="dxa"/>
            <w:vAlign w:val="center"/>
          </w:tcPr>
          <w:p w14:paraId="596B4DD3">
            <w:pPr>
              <w:jc w:val="center"/>
              <w:rPr>
                <w:rFonts w:hint="eastAsia" w:ascii="宋体" w:eastAsia="宋体"/>
              </w:rPr>
            </w:pPr>
            <w:r>
              <w:rPr>
                <w:rFonts w:hint="eastAsia" w:ascii="宋体" w:eastAsia="宋体"/>
                <w:lang w:val="en-US" w:eastAsia="zh-CN"/>
              </w:rPr>
              <w:t>人工智能（未来实验班）</w:t>
            </w:r>
          </w:p>
        </w:tc>
      </w:tr>
      <w:tr w14:paraId="17B63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71" w:type="dxa"/>
            <w:vAlign w:val="center"/>
          </w:tcPr>
          <w:p w14:paraId="7571B1F5">
            <w:pPr>
              <w:jc w:val="center"/>
              <w:rPr>
                <w:rFonts w:hint="eastAsia" w:ascii="宋体" w:eastAsia="宋体"/>
              </w:rPr>
            </w:pPr>
            <w:r>
              <w:rPr>
                <w:rFonts w:hint="eastAsia" w:ascii="宋体" w:eastAsia="宋体"/>
              </w:rPr>
              <w:t>联系电话</w:t>
            </w:r>
          </w:p>
        </w:tc>
        <w:tc>
          <w:tcPr>
            <w:tcW w:w="2902" w:type="dxa"/>
            <w:gridSpan w:val="2"/>
            <w:vAlign w:val="center"/>
          </w:tcPr>
          <w:p w14:paraId="25C5028F">
            <w:pPr>
              <w:jc w:val="center"/>
              <w:rPr>
                <w:rFonts w:hint="eastAsia" w:ascii="宋体" w:eastAsia="宋体"/>
              </w:rPr>
            </w:pPr>
            <w:r>
              <w:rPr>
                <w:rFonts w:hint="eastAsia" w:ascii="宋体" w:eastAsia="宋体"/>
                <w:lang w:val="en-US" w:eastAsia="zh-CN"/>
              </w:rPr>
              <w:t>18149251545</w:t>
            </w:r>
          </w:p>
        </w:tc>
        <w:tc>
          <w:tcPr>
            <w:tcW w:w="1534" w:type="dxa"/>
            <w:vAlign w:val="center"/>
          </w:tcPr>
          <w:p w14:paraId="11FFF9D9">
            <w:pPr>
              <w:jc w:val="center"/>
              <w:rPr>
                <w:rFonts w:ascii="Times New Roman" w:hAnsi="Times New Roman" w:eastAsia="宋体"/>
              </w:rPr>
            </w:pPr>
            <w:r>
              <w:rPr>
                <w:rFonts w:hint="eastAsia" w:ascii="Times New Roman" w:hAnsi="Times New Roman" w:eastAsia="宋体"/>
              </w:rPr>
              <w:t>电子邮箱</w:t>
            </w:r>
          </w:p>
        </w:tc>
        <w:tc>
          <w:tcPr>
            <w:tcW w:w="5269" w:type="dxa"/>
            <w:gridSpan w:val="2"/>
            <w:vAlign w:val="center"/>
          </w:tcPr>
          <w:p w14:paraId="2420C1C4">
            <w:pPr>
              <w:jc w:val="center"/>
              <w:rPr>
                <w:rFonts w:hint="eastAsia" w:ascii="宋体" w:eastAsia="宋体"/>
              </w:rPr>
            </w:pPr>
            <w:r>
              <w:rPr>
                <w:rFonts w:hint="eastAsia" w:ascii="宋体" w:eastAsia="宋体"/>
                <w:lang w:val="en-US" w:eastAsia="zh-CN"/>
              </w:rPr>
              <w:t>18149251545@163.com</w:t>
            </w:r>
          </w:p>
        </w:tc>
      </w:tr>
      <w:tr w14:paraId="7F00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71" w:type="dxa"/>
            <w:vAlign w:val="center"/>
          </w:tcPr>
          <w:p w14:paraId="4577DF0D">
            <w:pPr>
              <w:jc w:val="center"/>
              <w:rPr>
                <w:rFonts w:hint="eastAsia" w:ascii="宋体" w:eastAsia="宋体"/>
              </w:rPr>
            </w:pPr>
            <w:r>
              <w:rPr>
                <w:rFonts w:hint="eastAsia" w:ascii="宋体" w:eastAsia="宋体"/>
              </w:rPr>
              <w:t>实习单位</w:t>
            </w:r>
          </w:p>
        </w:tc>
        <w:tc>
          <w:tcPr>
            <w:tcW w:w="2902" w:type="dxa"/>
            <w:gridSpan w:val="2"/>
            <w:vAlign w:val="center"/>
          </w:tcPr>
          <w:p w14:paraId="22B4DD80">
            <w:pPr>
              <w:jc w:val="center"/>
              <w:rPr>
                <w:rFonts w:hint="eastAsia" w:ascii="宋体" w:eastAsia="宋体"/>
              </w:rPr>
            </w:pPr>
            <w:r>
              <w:rPr>
                <w:rFonts w:hint="eastAsia" w:ascii="宋体" w:eastAsia="宋体"/>
                <w:lang w:val="en-US" w:eastAsia="zh-CN"/>
              </w:rPr>
              <w:t>东北大学</w:t>
            </w:r>
          </w:p>
        </w:tc>
        <w:tc>
          <w:tcPr>
            <w:tcW w:w="1534" w:type="dxa"/>
            <w:vAlign w:val="center"/>
          </w:tcPr>
          <w:p w14:paraId="0FA240EF">
            <w:pPr>
              <w:jc w:val="center"/>
              <w:rPr>
                <w:rFonts w:hint="eastAsia" w:ascii="宋体" w:eastAsia="宋体"/>
              </w:rPr>
            </w:pPr>
            <w:r>
              <w:rPr>
                <w:rFonts w:hint="eastAsia" w:ascii="宋体" w:eastAsia="宋体"/>
              </w:rPr>
              <w:t>设计（论文）题目</w:t>
            </w:r>
          </w:p>
        </w:tc>
        <w:tc>
          <w:tcPr>
            <w:tcW w:w="5269" w:type="dxa"/>
            <w:gridSpan w:val="2"/>
            <w:vAlign w:val="center"/>
          </w:tcPr>
          <w:p w14:paraId="5EA1C499">
            <w:pPr>
              <w:bidi w:val="0"/>
              <w:rPr>
                <w:rFonts w:hint="eastAsia" w:ascii="宋体" w:eastAsia="宋体"/>
              </w:rPr>
            </w:pPr>
            <w:r>
              <w:rPr>
                <w:rFonts w:hint="eastAsia" w:ascii="宋体" w:hAnsi="宋体" w:eastAsia="宋体" w:cs="宋体"/>
              </w:rPr>
              <w:t>空天地一体化网络任务卸载与缓存协同优化方法的研究与实现</w:t>
            </w:r>
          </w:p>
        </w:tc>
      </w:tr>
      <w:tr w14:paraId="11EC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471" w:type="dxa"/>
            <w:vAlign w:val="center"/>
          </w:tcPr>
          <w:p w14:paraId="40512DE5">
            <w:pPr>
              <w:rPr>
                <w:rFonts w:hint="eastAsia" w:ascii="宋体" w:eastAsia="宋体"/>
              </w:rPr>
            </w:pPr>
            <w:r>
              <w:rPr>
                <w:rFonts w:hint="eastAsia" w:ascii="宋体" w:eastAsia="宋体"/>
              </w:rPr>
              <w:t>前一阶段</w:t>
            </w:r>
          </w:p>
          <w:p w14:paraId="055A79FE">
            <w:pPr>
              <w:rPr>
                <w:rFonts w:hint="eastAsia" w:ascii="宋体" w:eastAsia="宋体"/>
              </w:rPr>
            </w:pPr>
            <w:r>
              <w:rPr>
                <w:rFonts w:hint="eastAsia" w:ascii="宋体" w:eastAsia="宋体"/>
              </w:rPr>
              <w:t>工作总结</w:t>
            </w:r>
          </w:p>
        </w:tc>
        <w:tc>
          <w:tcPr>
            <w:tcW w:w="9705" w:type="dxa"/>
            <w:gridSpan w:val="5"/>
            <w:vAlign w:val="center"/>
          </w:tcPr>
          <w:p w14:paraId="1D0A24FA">
            <w:pPr>
              <w:numPr>
                <w:ilvl w:val="0"/>
                <w:numId w:val="0"/>
              </w:numPr>
              <w:spacing w:line="360" w:lineRule="auto"/>
              <w:ind w:firstLine="240" w:firstLineChars="100"/>
              <w:rPr>
                <w:rFonts w:ascii="宋体" w:hAnsi="宋体" w:eastAsia="宋体" w:cs="宋体"/>
                <w:sz w:val="24"/>
                <w:szCs w:val="24"/>
              </w:rPr>
            </w:pPr>
            <w:r>
              <w:rPr>
                <w:rFonts w:ascii="宋体" w:hAnsi="宋体" w:eastAsia="宋体" w:cs="宋体"/>
                <w:sz w:val="24"/>
                <w:szCs w:val="24"/>
              </w:rPr>
              <w:t>本阶段围绕空天地一体化网络中基于强化学习的联合任务卸载与内容缓存算法开展研究，完成文献梳理、系统模型构建、代码解析、强化学习环境搭建及阶段性实验分析。按照既定研究路线，明确网络架构、核心约束条件、状态空间、动作空间、奖励函数设计及创新点实施路径，形成阶段性研究成果。</w:t>
            </w:r>
          </w:p>
          <w:p w14:paraId="67375CD8">
            <w:pPr>
              <w:numPr>
                <w:ilvl w:val="0"/>
                <w:numId w:val="0"/>
              </w:numPr>
              <w:spacing w:line="360" w:lineRule="auto"/>
              <w:ind w:firstLine="240" w:firstLineChars="100"/>
              <w:rPr>
                <w:rFonts w:hint="eastAsia" w:ascii="宋体" w:eastAsia="宋体" w:cs="宋体"/>
              </w:rPr>
            </w:pPr>
            <w:r>
              <w:rPr>
                <w:rFonts w:hint="eastAsia" w:ascii="宋体" w:hAnsi="宋体" w:eastAsia="宋体" w:cs="宋体"/>
                <w:bCs/>
                <w:kern w:val="11"/>
                <w:sz w:val="24"/>
                <w:szCs w:val="24"/>
                <w:lang w:val="en-US" w:eastAsia="zh-CN" w:bidi="ar-SA"/>
              </w:rPr>
              <w:t>1.</w:t>
            </w:r>
            <w:r>
              <w:rPr>
                <w:rFonts w:hint="eastAsia" w:ascii="宋体" w:eastAsia="宋体" w:cs="宋体"/>
              </w:rPr>
              <w:t>研究背景与文献学习情况</w:t>
            </w:r>
          </w:p>
          <w:p w14:paraId="00B1BF71">
            <w:pPr>
              <w:numPr>
                <w:ilvl w:val="0"/>
                <w:numId w:val="0"/>
              </w:numPr>
              <w:spacing w:line="360" w:lineRule="auto"/>
              <w:ind w:firstLine="240" w:firstLineChars="100"/>
              <w:rPr>
                <w:rFonts w:ascii="宋体" w:hAnsi="宋体" w:eastAsia="宋体" w:cs="宋体"/>
                <w:sz w:val="24"/>
                <w:szCs w:val="24"/>
              </w:rPr>
            </w:pPr>
            <w:r>
              <w:rPr>
                <w:rFonts w:ascii="宋体" w:hAnsi="宋体" w:eastAsia="宋体" w:cs="宋体"/>
                <w:sz w:val="24"/>
                <w:szCs w:val="24"/>
              </w:rPr>
              <w:t>空天地一体化网络融合地面物联网设备、无人机边缘节点与低轨卫星资源，可为广域覆盖场景提供边缘计算支撑。受无人机能量与缓存资源受限、卫星链路资源紧张、任务请求时空动态性显著等因素影响，传统静态卸载与独立缓存策略难以实现低时延、高缓存命中率、低能耗的协同优化。本文将任务卸载与内容缓存作为联合优化问题，研究强化学习方法在动态网络环境中的自适应决策应用。</w:t>
            </w:r>
          </w:p>
          <w:p w14:paraId="66159E31">
            <w:pPr>
              <w:numPr>
                <w:ilvl w:val="0"/>
                <w:numId w:val="0"/>
              </w:numPr>
              <w:spacing w:line="360" w:lineRule="auto"/>
              <w:ind w:firstLine="240" w:firstLineChars="100"/>
              <w:rPr>
                <w:rFonts w:hint="eastAsia" w:ascii="宋体" w:eastAsia="宋体" w:cs="宋体"/>
              </w:rPr>
            </w:pPr>
            <w:r>
              <w:rPr>
                <w:rFonts w:hint="eastAsia" w:ascii="宋体" w:hAnsi="宋体" w:eastAsia="宋体" w:cs="宋体"/>
                <w:bCs/>
                <w:kern w:val="11"/>
                <w:sz w:val="24"/>
                <w:szCs w:val="24"/>
                <w:lang w:val="en-US" w:eastAsia="zh-CN" w:bidi="ar-SA"/>
              </w:rPr>
              <w:t>2.</w:t>
            </w:r>
            <w:r>
              <w:rPr>
                <w:rFonts w:hint="eastAsia" w:ascii="宋体" w:eastAsia="宋体" w:cs="宋体"/>
              </w:rPr>
              <w:t>系统模型与代码结构分析</w:t>
            </w:r>
          </w:p>
          <w:p w14:paraId="20BE14AA">
            <w:pPr>
              <w:numPr>
                <w:ilvl w:val="0"/>
                <w:numId w:val="0"/>
              </w:numPr>
              <w:spacing w:line="360" w:lineRule="auto"/>
              <w:ind w:firstLine="480" w:firstLineChars="200"/>
              <w:rPr>
                <w:rFonts w:hint="eastAsia" w:ascii="宋体" w:eastAsia="宋体" w:cs="宋体"/>
              </w:rPr>
            </w:pPr>
            <w:r>
              <w:rPr>
                <w:rFonts w:ascii="宋体" w:hAnsi="宋体" w:eastAsia="宋体" w:cs="宋体"/>
                <w:sz w:val="24"/>
                <w:szCs w:val="24"/>
              </w:rPr>
              <w:t>研究将地面区域划分为</w:t>
            </w:r>
            <w:r>
              <w:rPr>
                <w:rFonts w:hint="default" w:ascii="Times New Roman" w:hAnsi="Times New Roman" w:eastAsia="宋体" w:cs="Times New Roman"/>
                <w:sz w:val="24"/>
                <w:szCs w:val="24"/>
              </w:rPr>
              <w:t>X×Y</w:t>
            </w:r>
            <w:r>
              <w:rPr>
                <w:rFonts w:ascii="宋体" w:hAnsi="宋体" w:eastAsia="宋体" w:cs="宋体"/>
                <w:sz w:val="24"/>
                <w:szCs w:val="24"/>
              </w:rPr>
              <w:t>网格结构，每个网格对应一架无人机。网络上层部署低轨卫星，卫星与无人机无固定绑定关系，各时隙依据</w:t>
            </w:r>
            <w:r>
              <w:rPr>
                <w:rFonts w:hint="default" w:ascii="Times New Roman" w:hAnsi="Times New Roman" w:eastAsia="宋体" w:cs="Times New Roman"/>
                <w:sz w:val="24"/>
                <w:szCs w:val="24"/>
              </w:rPr>
              <w:t>OFDMA</w:t>
            </w:r>
            <w:r>
              <w:rPr>
                <w:rFonts w:ascii="宋体" w:hAnsi="宋体" w:eastAsia="宋体" w:cs="宋体"/>
                <w:sz w:val="24"/>
                <w:szCs w:val="24"/>
              </w:rPr>
              <w:t>子信道资源建立动态连接。单一时隙内，一架无人机最多连接一颗卫星，一颗卫星可服务多架无人机，并非所有无人机均可接入卫星，该结构可体现链路资源受限与网络协同关系动态变化的特征。</w:t>
            </w:r>
          </w:p>
          <w:p w14:paraId="0C5756EF">
            <w:pPr>
              <w:numPr>
                <w:ilvl w:val="0"/>
                <w:numId w:val="0"/>
              </w:numPr>
              <w:spacing w:line="360" w:lineRule="auto"/>
              <w:ind w:firstLine="240" w:firstLineChars="100"/>
              <w:rPr>
                <w:rFonts w:hint="eastAsia" w:ascii="宋体" w:eastAsia="宋体" w:cs="宋体"/>
              </w:rPr>
            </w:pPr>
            <w:r>
              <w:rPr>
                <w:rFonts w:hint="eastAsia" w:ascii="宋体" w:hAnsi="宋体" w:eastAsia="宋体" w:cs="宋体"/>
                <w:bCs/>
                <w:kern w:val="11"/>
                <w:sz w:val="24"/>
                <w:szCs w:val="24"/>
                <w:lang w:val="en-US" w:eastAsia="zh-CN" w:bidi="ar-SA"/>
              </w:rPr>
              <w:t>3.</w:t>
            </w:r>
            <w:r>
              <w:rPr>
                <w:rFonts w:hint="eastAsia" w:ascii="宋体" w:eastAsia="宋体" w:cs="宋体"/>
              </w:rPr>
              <w:t>内容生成、缓存与任务卸载流程分析</w:t>
            </w:r>
          </w:p>
          <w:p w14:paraId="2CED3D09">
            <w:pPr>
              <w:numPr>
                <w:ilvl w:val="0"/>
                <w:numId w:val="0"/>
              </w:numPr>
              <w:spacing w:line="360" w:lineRule="auto"/>
              <w:ind w:firstLine="240" w:firstLineChars="100"/>
              <w:rPr>
                <w:rFonts w:ascii="宋体" w:hAnsi="宋体" w:eastAsia="宋体" w:cs="宋体"/>
                <w:sz w:val="24"/>
                <w:szCs w:val="24"/>
              </w:rPr>
            </w:pPr>
            <w:r>
              <w:rPr>
                <w:rFonts w:ascii="宋体" w:hAnsi="宋体" w:eastAsia="宋体" w:cs="宋体"/>
                <w:sz w:val="24"/>
                <w:szCs w:val="24"/>
              </w:rPr>
              <w:t>地面区域部署物联网设备，活跃设备按照时空齐普夫分布生成内容数据，数据包含编号、大小、生命周期与生成时间。无人机通过</w:t>
            </w:r>
            <w:r>
              <w:rPr>
                <w:rFonts w:hint="default" w:ascii="Times New Roman" w:hAnsi="Times New Roman" w:eastAsia="宋体" w:cs="Times New Roman"/>
                <w:sz w:val="24"/>
                <w:szCs w:val="24"/>
              </w:rPr>
              <w:t>C</w:t>
            </w:r>
            <w:r>
              <w:rPr>
                <w:rFonts w:ascii="宋体" w:hAnsi="宋体" w:eastAsia="宋体" w:cs="宋体"/>
                <w:sz w:val="24"/>
                <w:szCs w:val="24"/>
              </w:rPr>
              <w:t>波段</w:t>
            </w:r>
            <w:r>
              <w:rPr>
                <w:rFonts w:hint="default" w:ascii="Times New Roman" w:hAnsi="Times New Roman" w:eastAsia="宋体" w:cs="Times New Roman"/>
                <w:sz w:val="24"/>
                <w:szCs w:val="24"/>
              </w:rPr>
              <w:t>TDMA</w:t>
            </w:r>
            <w:r>
              <w:rPr>
                <w:rFonts w:ascii="宋体" w:hAnsi="宋体" w:eastAsia="宋体" w:cs="宋体"/>
                <w:sz w:val="24"/>
                <w:szCs w:val="24"/>
              </w:rPr>
              <w:t>链路采集区域内内容，形成时隙聚合内容集。无人机获得卫星信道资源时，可将内容上传至卫星全局内容池。无人机本地缓存候选集由历史缓存内容、当前时隙聚合内容及卫星可感知内容构成。系统设置四类缓存策略，任务卸载包含本地执行、邻域无人机执行、卫星执行与任务丢弃四种方式。任务执行依赖计算资源、队列状态与目标节点内容匹配状态，系统构建内容感知的任务卸载模型。</w:t>
            </w:r>
          </w:p>
          <w:p w14:paraId="29B09D78">
            <w:pPr>
              <w:numPr>
                <w:ilvl w:val="0"/>
                <w:numId w:val="0"/>
              </w:numPr>
              <w:spacing w:line="360" w:lineRule="auto"/>
              <w:ind w:firstLine="240" w:firstLineChars="100"/>
              <w:rPr>
                <w:rFonts w:hint="eastAsia" w:ascii="宋体" w:eastAsia="宋体" w:cs="宋体"/>
              </w:rPr>
            </w:pPr>
            <w:r>
              <w:rPr>
                <w:rFonts w:hint="eastAsia" w:ascii="宋体" w:hAnsi="宋体" w:eastAsia="宋体" w:cs="宋体"/>
                <w:bCs/>
                <w:kern w:val="11"/>
                <w:sz w:val="24"/>
                <w:szCs w:val="24"/>
                <w:lang w:val="en-US" w:eastAsia="zh-CN" w:bidi="ar-SA"/>
              </w:rPr>
              <w:t>4.</w:t>
            </w:r>
            <w:r>
              <w:rPr>
                <w:rFonts w:hint="eastAsia" w:ascii="宋体" w:eastAsia="宋体" w:cs="宋体"/>
              </w:rPr>
              <w:t>强化学习环境与</w:t>
            </w:r>
            <w:r>
              <w:rPr>
                <w:rFonts w:hint="default" w:ascii="Times New Roman" w:hAnsi="Times New Roman" w:eastAsia="宋体" w:cs="Times New Roman"/>
              </w:rPr>
              <w:t>PPO</w:t>
            </w:r>
            <w:r>
              <w:rPr>
                <w:rFonts w:hint="eastAsia" w:ascii="宋体" w:eastAsia="宋体" w:cs="宋体"/>
              </w:rPr>
              <w:t>算法实现</w:t>
            </w:r>
          </w:p>
          <w:p w14:paraId="2808142F">
            <w:pPr>
              <w:bidi w:val="0"/>
              <w:ind w:firstLine="480" w:firstLineChars="200"/>
              <w:rPr>
                <w:rFonts w:hint="eastAsia"/>
              </w:rPr>
            </w:pPr>
            <w:r>
              <w:rPr>
                <w:rFonts w:hint="eastAsia"/>
                <w:lang w:val="en-US" w:eastAsia="zh-CN"/>
              </w:rPr>
              <w:t>本文通过</w:t>
            </w:r>
            <w:r>
              <w:rPr>
                <w:rFonts w:hint="default" w:ascii="Times New Roman" w:hAnsi="Times New Roman" w:cs="Times New Roman"/>
                <w:lang w:val="en-US" w:eastAsia="zh-CN"/>
              </w:rPr>
              <w:t>JointCacheOffloadEnv</w:t>
            </w:r>
            <w:r>
              <w:rPr>
                <w:rFonts w:hint="eastAsia"/>
                <w:lang w:val="en-US" w:eastAsia="zh-CN"/>
              </w:rPr>
              <w:t>完成空天地一体化网络仿真环境向强化学习环境的封装。状态空间包含无人机能量比例、队列占用率、缓存命中率、缓存占用率、活跃任务数量、任务平均计算量、时延约束、候选内容数量、候选内容平均大小、候选内容平均热度及齐普夫分布参数。动作空间分为卸载动作与缓存动作两类。智能体采用PPO算法，网络采用共享多层感知机编码器，设置卸载动作头、缓存动作头与价值函数头，实现联合决策输出。奖励函数综合任务完成数量、缓存命中数量、任务丢弃数量、能耗比例与队列拥塞比例，实现多目标优化表征。</w:t>
            </w:r>
          </w:p>
          <w:p w14:paraId="3FC5B5F1">
            <w:pPr>
              <w:bidi w:val="0"/>
              <w:rPr>
                <w:rFonts w:hint="eastAsia"/>
              </w:rPr>
            </w:pPr>
            <w:r>
              <w:rPr>
                <w:rFonts w:hint="eastAsia"/>
                <w:lang w:val="en-US" w:eastAsia="zh-CN"/>
              </w:rPr>
              <w:t>研究完成单智能体联合</w:t>
            </w:r>
            <w:r>
              <w:rPr>
                <w:rFonts w:hint="default" w:ascii="Times New Roman" w:hAnsi="Times New Roman" w:cs="Times New Roman"/>
                <w:lang w:val="en-US" w:eastAsia="zh-CN"/>
              </w:rPr>
              <w:t>PPO</w:t>
            </w:r>
            <w:r>
              <w:rPr>
                <w:rFonts w:hint="eastAsia"/>
                <w:lang w:val="en-US" w:eastAsia="zh-CN"/>
              </w:rPr>
              <w:t>基线模型训练闭环搭建，实现环境重置、状态输入、动作采样、环境反馈、经验存储、策略更新与参数保存流程。联合</w:t>
            </w:r>
            <w:r>
              <w:rPr>
                <w:rFonts w:hint="default" w:ascii="Times New Roman" w:hAnsi="Times New Roman" w:cs="Times New Roman"/>
                <w:lang w:val="en-US" w:eastAsia="zh-CN"/>
              </w:rPr>
              <w:t>PPO</w:t>
            </w:r>
            <w:r>
              <w:rPr>
                <w:rFonts w:hint="eastAsia"/>
                <w:lang w:val="en-US" w:eastAsia="zh-CN"/>
              </w:rPr>
              <w:t>模型采用共享特征提取与双动作头结构，在统一框架内完成任务卸载与缓存决策，为后续安全约束机制与课程难度自适应训练机制提供实现基础。</w:t>
            </w:r>
          </w:p>
          <w:p w14:paraId="0F1B5D0B">
            <w:pPr>
              <w:numPr>
                <w:ilvl w:val="0"/>
                <w:numId w:val="0"/>
              </w:numPr>
              <w:spacing w:line="360" w:lineRule="auto"/>
              <w:ind w:firstLine="240" w:firstLineChars="100"/>
              <w:rPr>
                <w:rFonts w:hint="eastAsia" w:ascii="宋体" w:eastAsia="宋体" w:cs="宋体"/>
              </w:rPr>
            </w:pPr>
            <w:r>
              <w:rPr>
                <w:rFonts w:hint="eastAsia" w:ascii="宋体" w:hAnsi="宋体" w:eastAsia="宋体" w:cs="宋体"/>
                <w:bCs/>
                <w:kern w:val="11"/>
                <w:sz w:val="24"/>
                <w:szCs w:val="24"/>
                <w:lang w:val="en-US" w:eastAsia="zh-CN" w:bidi="ar-SA"/>
              </w:rPr>
              <w:t>5.</w:t>
            </w:r>
            <w:r>
              <w:rPr>
                <w:rFonts w:hint="eastAsia" w:ascii="宋体" w:eastAsia="宋体" w:cs="宋体"/>
              </w:rPr>
              <w:t>阶段性实验结果分析。</w:t>
            </w:r>
          </w:p>
          <w:p w14:paraId="692657D4">
            <w:pPr>
              <w:numPr>
                <w:ilvl w:val="0"/>
                <w:numId w:val="0"/>
              </w:numPr>
              <w:spacing w:line="360" w:lineRule="auto"/>
              <w:ind w:left="0" w:leftChars="0" w:firstLine="480" w:firstLineChars="200"/>
              <w:rPr>
                <w:rFonts w:hint="eastAsia" w:ascii="宋体" w:hAnsi="宋体" w:eastAsia="宋体" w:cs="宋体"/>
                <w:sz w:val="24"/>
                <w:szCs w:val="24"/>
                <w:lang w:eastAsia="zh-CN"/>
              </w:rPr>
            </w:pPr>
            <w:r>
              <w:rPr>
                <w:rFonts w:hint="default" w:ascii="Times New Roman" w:hAnsi="Times New Roman" w:eastAsia="宋体" w:cs="Times New Roman"/>
                <w:sz w:val="24"/>
                <w:szCs w:val="24"/>
              </w:rPr>
              <w:t>PPO</w:t>
            </w:r>
            <w:r>
              <w:rPr>
                <w:rFonts w:ascii="宋体" w:hAnsi="宋体" w:eastAsia="宋体" w:cs="宋体"/>
                <w:sz w:val="24"/>
                <w:szCs w:val="24"/>
              </w:rPr>
              <w:t>智能体在500轮训练过程中表现出较明显的学习趋势。单轮奖励在训练初期整体较低，随后随着训练轮数增加逐步上升，并在中后期主要维持在55～65区间附近波动，部分训练回合可达到70以上。如图1所示，训练奖励总体呈上升趋势，说明当前状态、动作和奖励设计能够使策略逐步学习到较优的缓存与卸载组合，基线模型已经具备一定的可学习性和初步收敛趋势。同时，从训练曲线也可以看出，中后期仍存在一定波动，说明当前模型在训练稳定性和最终性能方面仍有进一步优化空间。现阶段实验结果的主要意义在于验证当前技术路线的可行性，即基线模型已经能够完成训练闭环并取得初步有效结果，为后续开展安全约束机制、课程难度自适应训练机制以及对比实验、消融实验提供了基础。</w:t>
            </w:r>
          </w:p>
          <w:p w14:paraId="417412E5">
            <w:pPr>
              <w:numPr>
                <w:ilvl w:val="0"/>
                <w:numId w:val="0"/>
              </w:numPr>
              <w:spacing w:line="360" w:lineRule="auto"/>
              <w:ind w:left="0" w:leftChars="0" w:firstLine="480" w:firstLineChars="200"/>
              <w:rPr>
                <w:rFonts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5365750" cy="1788795"/>
                  <wp:effectExtent l="0" t="0" r="13970" b="9525"/>
                  <wp:docPr id="1" name="图片 1" descr="co_ppo_rewar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_ppo_reward_curve"/>
                          <pic:cNvPicPr>
                            <a:picLocks noChangeAspect="1"/>
                          </pic:cNvPicPr>
                        </pic:nvPicPr>
                        <pic:blipFill>
                          <a:blip r:embed="rId6"/>
                          <a:stretch>
                            <a:fillRect/>
                          </a:stretch>
                        </pic:blipFill>
                        <pic:spPr>
                          <a:xfrm>
                            <a:off x="0" y="0"/>
                            <a:ext cx="5365750" cy="1788795"/>
                          </a:xfrm>
                          <a:prstGeom prst="rect">
                            <a:avLst/>
                          </a:prstGeom>
                        </pic:spPr>
                      </pic:pic>
                    </a:graphicData>
                  </a:graphic>
                </wp:inline>
              </w:drawing>
            </w:r>
          </w:p>
          <w:p w14:paraId="68E6FA7E">
            <w:pPr>
              <w:numPr>
                <w:ilvl w:val="0"/>
                <w:numId w:val="0"/>
              </w:numPr>
              <w:spacing w:line="360" w:lineRule="auto"/>
              <w:ind w:left="0" w:leftChars="0" w:firstLine="480" w:firstLineChars="200"/>
              <w:jc w:val="center"/>
              <w:rPr>
                <w:rFonts w:hint="eastAsia" w:ascii="宋体" w:hAnsi="宋体" w:eastAsia="宋体" w:cs="宋体"/>
                <w:sz w:val="24"/>
                <w:szCs w:val="24"/>
                <w:lang w:val="en-US" w:eastAsia="zh-CN"/>
              </w:rPr>
            </w:pPr>
            <w:r>
              <w:rPr>
                <w:rFonts w:ascii="宋体" w:hAnsi="宋体" w:eastAsia="宋体" w:cs="宋体"/>
                <w:sz w:val="24"/>
                <w:szCs w:val="24"/>
              </w:rPr>
              <w:t>图1 联合PPO基线模型训练奖励曲线</w:t>
            </w:r>
          </w:p>
          <w:p w14:paraId="75C5BAAA">
            <w:pPr>
              <w:numPr>
                <w:ilvl w:val="0"/>
                <w:numId w:val="0"/>
              </w:numPr>
              <w:spacing w:line="360" w:lineRule="auto"/>
              <w:ind w:firstLine="240" w:firstLineChars="100"/>
              <w:rPr>
                <w:rFonts w:hint="eastAsia" w:ascii="宋体" w:eastAsia="宋体" w:cs="宋体"/>
              </w:rPr>
            </w:pPr>
            <w:r>
              <w:rPr>
                <w:rFonts w:hint="eastAsia" w:ascii="宋体" w:eastAsia="宋体" w:cs="宋体"/>
                <w:sz w:val="24"/>
                <w:szCs w:val="24"/>
                <w:lang w:val="en-US" w:eastAsia="zh-CN"/>
              </w:rPr>
              <w:t>6</w:t>
            </w:r>
            <w:r>
              <w:rPr>
                <w:rFonts w:hint="eastAsia" w:ascii="宋体" w:eastAsia="宋体" w:cs="宋体"/>
              </w:rPr>
              <w:t>创新点设计与改进思路</w:t>
            </w:r>
          </w:p>
          <w:p w14:paraId="3CD4B509">
            <w:pPr>
              <w:numPr>
                <w:ilvl w:val="0"/>
                <w:numId w:val="0"/>
              </w:numPr>
              <w:spacing w:line="360" w:lineRule="auto"/>
              <w:ind w:firstLine="480" w:firstLineChars="200"/>
              <w:rPr>
                <w:rFonts w:hint="eastAsia" w:ascii="宋体" w:eastAsia="宋体" w:cs="宋体"/>
              </w:rPr>
            </w:pPr>
            <w:r>
              <w:rPr>
                <w:rFonts w:ascii="宋体" w:hAnsi="宋体" w:eastAsia="宋体" w:cs="宋体"/>
                <w:sz w:val="24"/>
                <w:szCs w:val="24"/>
              </w:rPr>
              <w:t>在现有单智能体联合</w:t>
            </w:r>
            <w:r>
              <w:rPr>
                <w:rFonts w:hint="default" w:ascii="Times New Roman" w:hAnsi="Times New Roman" w:eastAsia="宋体" w:cs="Times New Roman"/>
                <w:sz w:val="24"/>
                <w:szCs w:val="24"/>
              </w:rPr>
              <w:t>PPO</w:t>
            </w:r>
            <w:r>
              <w:rPr>
                <w:rFonts w:ascii="宋体" w:hAnsi="宋体" w:eastAsia="宋体" w:cs="宋体"/>
                <w:sz w:val="24"/>
                <w:szCs w:val="24"/>
              </w:rPr>
              <w:t>基线模型的基础上，后续创新设计主要围绕系统安全性和训练稳定性两个方面展开。当前基线模型已经能够在统一强化学习框架下对任务卸载与缓存决策进行联合训练，并取得初步有效结果，但仍存在两个较明显的问题：其一，现有奖励函数主要采用标量加权方式综合任务完成、缓存命中、任务丢弃、能耗与队列状态等因素，尚未对安全约束和目标冲突关系进行显式处理；其二，当前训练环境难度固定，在复杂场景下容易出现训练初期学习困难、奖励波动较大以及中后期收敛不够稳定等问题。针对上述不足，拟进一步设计如下两项改进机制。</w:t>
            </w:r>
          </w:p>
          <w:p w14:paraId="4B66608C">
            <w:pPr>
              <w:numPr>
                <w:ilvl w:val="0"/>
                <w:numId w:val="0"/>
              </w:numPr>
              <w:spacing w:line="360" w:lineRule="auto"/>
              <w:ind w:firstLine="240" w:firstLineChars="100"/>
              <w:rPr>
                <w:rFonts w:hint="default" w:ascii="宋体" w:eastAsia="宋体" w:cs="宋体"/>
                <w:lang w:val="en-US" w:eastAsia="zh-CN"/>
              </w:rPr>
            </w:pPr>
            <w:r>
              <w:rPr>
                <w:rFonts w:hint="eastAsia" w:ascii="宋体" w:eastAsia="宋体" w:cs="宋体"/>
                <w:lang w:val="en-US" w:eastAsia="zh-CN"/>
              </w:rPr>
              <w:t>6.1</w:t>
            </w:r>
            <w:r>
              <w:rPr>
                <w:rFonts w:ascii="宋体" w:hAnsi="宋体" w:eastAsia="宋体" w:cs="宋体"/>
                <w:sz w:val="24"/>
                <w:szCs w:val="24"/>
              </w:rPr>
              <w:t>基于约束校正的安全多目标联合</w:t>
            </w:r>
            <w:r>
              <w:rPr>
                <w:rFonts w:hint="default" w:ascii="Times New Roman" w:hAnsi="Times New Roman" w:eastAsia="宋体" w:cs="Times New Roman"/>
                <w:sz w:val="24"/>
                <w:szCs w:val="24"/>
              </w:rPr>
              <w:t>PPO</w:t>
            </w:r>
            <w:r>
              <w:rPr>
                <w:rFonts w:ascii="宋体" w:hAnsi="宋体" w:eastAsia="宋体" w:cs="宋体"/>
                <w:sz w:val="24"/>
                <w:szCs w:val="24"/>
              </w:rPr>
              <w:t>机制</w:t>
            </w:r>
          </w:p>
          <w:p w14:paraId="2E6C106B">
            <w:pPr>
              <w:bidi w:val="0"/>
              <w:ind w:firstLine="480" w:firstLineChars="200"/>
            </w:pPr>
            <w:r>
              <w:t>现有基线模型虽然已经在奖励函数中考虑了能耗比例和队列拥塞等因素，但本质上仍属于多项指标简单加权的统一优化方式。这种处理方式实现简单，但容易导致性能目标与安全目标之间相互冲突，例如为了提高任务完成率而采取更激进的卸载策略，可能会带来更高能耗、更大队列压力或更多失败卸载。参考安全多目标强化学习相关研究，其中指出简单加权方式在多目标场景下容易受到目标冲突影响，而当硬约束被违反时，应优先进行约束校正，再继续进行性能优化。因此，</w:t>
            </w:r>
            <w:r>
              <w:rPr>
                <w:rFonts w:hint="eastAsia"/>
                <w:lang w:val="en-US" w:eastAsia="zh-CN"/>
              </w:rPr>
              <w:t>本文</w:t>
            </w:r>
            <w:r>
              <w:t>拟在现有基线模型基础上，引入一种轻量化的约束校正式安全训练机制。</w:t>
            </w:r>
          </w:p>
          <w:p w14:paraId="102C251A">
            <w:pPr>
              <w:bidi w:val="0"/>
              <w:ind w:firstLine="480" w:firstLineChars="200"/>
              <w:rPr>
                <w:rFonts w:ascii="宋体" w:hAnsi="宋体" w:eastAsia="宋体" w:cs="宋体"/>
                <w:sz w:val="24"/>
                <w:szCs w:val="24"/>
              </w:rPr>
            </w:pPr>
            <w:r>
              <w:t>具体而言，</w:t>
            </w:r>
            <w:r>
              <w:rPr>
                <w:rFonts w:ascii="宋体" w:hAnsi="宋体" w:eastAsia="宋体" w:cs="宋体"/>
                <w:sz w:val="24"/>
                <w:szCs w:val="24"/>
              </w:rPr>
              <w:t>为了将当前统一奖励中的性能目标与安全目标进一步区分，</w:t>
            </w:r>
            <w:r>
              <w:rPr>
                <w:rFonts w:hint="eastAsia" w:ascii="宋体" w:hAnsi="宋体" w:cs="宋体"/>
                <w:sz w:val="24"/>
                <w:szCs w:val="24"/>
                <w:lang w:val="en-US" w:eastAsia="zh-CN"/>
              </w:rPr>
              <w:t>本文</w:t>
            </w:r>
            <w:r>
              <w:rPr>
                <w:rFonts w:ascii="宋体" w:hAnsi="宋体" w:eastAsia="宋体" w:cs="宋体"/>
                <w:sz w:val="24"/>
                <w:szCs w:val="24"/>
              </w:rPr>
              <w:t>首先将奖励函数拆分为性能收益项与安全代价项。设第</w:t>
            </w:r>
            <w:r>
              <w:rPr>
                <w:rFonts w:hint="default" w:ascii="Times New Roman" w:hAnsi="Times New Roman" w:cs="Times New Roman"/>
                <w:sz w:val="24"/>
                <w:szCs w:val="24"/>
                <w:lang w:val="en-US" w:eastAsia="zh-CN"/>
              </w:rPr>
              <w:t>t</w:t>
            </w:r>
            <w:r>
              <w:rPr>
                <w:rFonts w:ascii="宋体" w:hAnsi="宋体" w:eastAsia="宋体" w:cs="宋体"/>
                <w:sz w:val="24"/>
                <w:szCs w:val="24"/>
              </w:rPr>
              <w:t>时刻的性能收益为</w:t>
            </w:r>
          </w:p>
          <w:p w14:paraId="70D66C95">
            <w:pPr>
              <w:bidi w:val="0"/>
              <w:ind w:firstLine="480" w:firstLineChars="200"/>
              <w:jc w:val="center"/>
              <w:rPr>
                <w:rFonts w:hint="default" w:hAnsi="Cambria Math" w:eastAsia="宋体"/>
                <w:i w:val="0"/>
                <w:sz w:val="24"/>
                <w:lang w:val="en-US" w:eastAsia="zh-CN"/>
              </w:rPr>
            </w:pPr>
            <w:r>
              <w:rPr>
                <w:rFonts w:hint="eastAsia" w:hAnsi="Cambria Math"/>
                <w:i w:val="0"/>
                <w:sz w:val="24"/>
                <w:lang w:val="en-US" w:eastAsia="zh-CN"/>
              </w:rPr>
              <w:t xml:space="preserve">                    </w:t>
            </w:r>
            <m:oMath>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perf</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hAnsi="Cambria Math"/>
                <w:i w:val="0"/>
                <w:sz w:val="24"/>
                <w:lang w:val="en-US" w:eastAsia="zh-CN"/>
              </w:rPr>
              <w:t xml:space="preserve">                   </w:t>
            </w:r>
            <w:r>
              <w:rPr>
                <w:rFonts w:hint="default" w:ascii="Times New Roman" w:hAnsi="Times New Roman" w:cs="Times New Roman" w:eastAsiaTheme="minorEastAsia"/>
                <w:b/>
                <w:bCs w:val="0"/>
                <w:i w:val="0"/>
                <w:sz w:val="24"/>
                <w:lang w:val="en-US" w:eastAsia="zh-CN"/>
              </w:rPr>
              <w:t>(6-1)</w:t>
            </w:r>
          </w:p>
          <w:p w14:paraId="66B22923">
            <w:pPr>
              <w:bidi w:val="0"/>
              <w:ind w:firstLine="480" w:firstLineChars="200"/>
            </w:pPr>
            <w:r>
              <w:t>其中，</w:t>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t>表示第</w:t>
            </w:r>
            <w:r>
              <w:rPr>
                <w:rFonts w:hint="default" w:ascii="Times New Roman" w:hAnsi="Times New Roman" w:cs="Times New Roman"/>
              </w:rPr>
              <w:t>t</w:t>
            </w:r>
            <w:r>
              <w:t>时刻按时完成任务数量，</w:t>
            </w:r>
            <m:oMath>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t>表示第</w:t>
            </w:r>
            <w:r>
              <w:rPr>
                <w:rFonts w:hint="default" w:ascii="Times New Roman" w:hAnsi="Times New Roman" w:cs="Times New Roman"/>
              </w:rPr>
              <w:t>t</w:t>
            </w:r>
            <w:r>
              <w:t>时刻新增缓存命中数量，</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t>表示第</w:t>
            </w:r>
            <w:r>
              <w:rPr>
                <w:rFonts w:hint="default" w:ascii="Times New Roman" w:hAnsi="Times New Roman" w:cs="Times New Roman"/>
              </w:rPr>
              <w:t>t</w:t>
            </w:r>
            <w:r>
              <w:t>时刻任务丢弃数量，</w:t>
            </w:r>
            <m:oMath>
              <m:sSub>
                <m:sSubPr>
                  <m:ctrlPr>
                    <w:rPr>
                      <w:rFonts w:hint="default" w:ascii="Cambria Math" w:hAnsi="Cambria Math"/>
                    </w:rPr>
                  </m:ctrlPr>
                </m:sSubPr>
                <m:e>
                  <m:r>
                    <m:rPr>
                      <m:sty m:val="p"/>
                    </m:rPr>
                    <w:rPr>
                      <w:rFonts w:hint="default" w:ascii="Times New Roman" w:hAnsi="Times New Roman"/>
                    </w:rPr>
                    <m:t>α</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α</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α</m:t>
                  </m:r>
                  <m:ctrlPr>
                    <w:rPr>
                      <w:rFonts w:ascii="Cambria Math" w:hAnsi="Cambria Math"/>
                    </w:rPr>
                  </m:ctrlPr>
                </m:e>
                <m:sub>
                  <m:r>
                    <m:rPr>
                      <m:sty m:val="p"/>
                    </m:rPr>
                    <w:rPr>
                      <w:rFonts w:hint="default" w:ascii="Times New Roman" w:hAnsi="Times New Roman"/>
                    </w:rPr>
                    <m:t>3</m:t>
                  </m:r>
                  <m:ctrlPr>
                    <w:rPr>
                      <w:rFonts w:ascii="Cambria Math" w:hAnsi="Cambria Math"/>
                    </w:rPr>
                  </m:ctrlPr>
                </m:sub>
              </m:sSub>
            </m:oMath>
            <w:r>
              <w:t>为对应权重系数。主要用于刻画系统在任务执行效果和缓存利用效果方面的综合性能。</w:t>
            </w:r>
          </w:p>
          <w:p w14:paraId="3B235A92">
            <w:pPr>
              <w:bidi w:val="0"/>
            </w:pPr>
            <w:r>
              <w:t>进一步地，将系统运行中的安全相关因素定义为安全代价项：</w:t>
            </w:r>
          </w:p>
          <w:p w14:paraId="0A88AEBC">
            <w:pPr>
              <w:bidi w:val="0"/>
              <w:ind w:firstLine="480" w:firstLineChars="200"/>
              <w:jc w:val="center"/>
              <w:rPr>
                <w:rFonts w:hint="default" w:hAnsi="Cambria Math" w:eastAsia="宋体"/>
                <w:i w:val="0"/>
                <w:sz w:val="24"/>
                <w:lang w:val="en-US" w:eastAsia="zh-CN"/>
              </w:rPr>
            </w:pPr>
            <w:r>
              <w:rPr>
                <w:rFonts w:hint="eastAsia" w:hAnsi="Cambria Math"/>
                <w:i w:val="0"/>
                <w:sz w:val="24"/>
                <w:lang w:val="en-US" w:eastAsia="zh-CN"/>
              </w:rPr>
              <w:t xml:space="preserve">                    </w:t>
            </w:r>
            <m:oMath>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safe</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hAnsi="Cambria Math"/>
                <w:i w:val="0"/>
                <w:sz w:val="24"/>
                <w:lang w:val="en-US" w:eastAsia="zh-CN"/>
              </w:rPr>
              <w:t xml:space="preserve">                   </w:t>
            </w:r>
            <w:r>
              <w:rPr>
                <w:rFonts w:hint="default" w:ascii="Times New Roman" w:hAnsi="Times New Roman" w:cs="Times New Roman" w:eastAsiaTheme="minorEastAsia"/>
                <w:b/>
                <w:bCs w:val="0"/>
                <w:i w:val="0"/>
                <w:sz w:val="24"/>
                <w:lang w:val="en-US" w:eastAsia="zh-CN"/>
              </w:rPr>
              <w:t>(6-2)</w:t>
            </w:r>
          </w:p>
          <w:p w14:paraId="132EF3BF">
            <w:pPr>
              <w:bidi w:val="0"/>
              <w:ind w:firstLine="480" w:firstLineChars="200"/>
              <w:rPr>
                <w:rFonts w:ascii="宋体" w:hAnsi="宋体" w:eastAsia="宋体" w:cs="宋体"/>
                <w:sz w:val="24"/>
                <w:szCs w:val="24"/>
              </w:rPr>
            </w:pPr>
            <w:r>
              <w:rPr>
                <w:rFonts w:ascii="宋体" w:hAnsi="宋体" w:eastAsia="宋体" w:cs="宋体"/>
                <w:sz w:val="24"/>
                <w:szCs w:val="24"/>
              </w:rPr>
              <w:t>其中，</w:t>
            </w:r>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宋体" w:hAnsi="宋体" w:eastAsia="宋体" w:cs="宋体"/>
                <w:sz w:val="24"/>
                <w:szCs w:val="24"/>
              </w:rPr>
              <w:t>、</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宋体" w:hAnsi="宋体" w:eastAsia="宋体" w:cs="宋体"/>
                <w:sz w:val="24"/>
                <w:szCs w:val="24"/>
              </w:rPr>
              <w:t>和</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宋体" w:hAnsi="宋体" w:eastAsia="宋体" w:cs="宋体"/>
                <w:sz w:val="24"/>
                <w:szCs w:val="24"/>
              </w:rPr>
              <w:t>分别表示第t时刻的平均能耗比例、平均队列拥塞比例和失败卸载数量，</w:t>
            </w:r>
            <m:oMath>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ascii="宋体" w:hAnsi="宋体" w:eastAsia="宋体" w:cs="宋体"/>
                <w:sz w:val="24"/>
                <w:szCs w:val="24"/>
              </w:rPr>
              <w:t>为对应安全代价权重。用于综合描述当前策略在系统安全性方面造成的代价水平。</w:t>
            </w:r>
          </w:p>
          <w:p w14:paraId="2AECF127">
            <w:pPr>
              <w:bidi w:val="0"/>
              <w:ind w:firstLine="480" w:firstLineChars="200"/>
              <w:rPr>
                <w:rFonts w:ascii="宋体" w:hAnsi="宋体" w:eastAsia="宋体" w:cs="宋体"/>
                <w:sz w:val="24"/>
                <w:szCs w:val="24"/>
              </w:rPr>
            </w:pPr>
            <w:r>
              <w:rPr>
                <w:rFonts w:ascii="宋体" w:hAnsi="宋体" w:eastAsia="宋体" w:cs="宋体"/>
                <w:sz w:val="24"/>
                <w:szCs w:val="24"/>
              </w:rPr>
              <w:t>在此基础上，定义安全阈值</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oMath>
            <w:r>
              <w:rPr>
                <w:rFonts w:ascii="宋体" w:hAnsi="宋体" w:eastAsia="宋体" w:cs="宋体"/>
                <w:sz w:val="24"/>
                <w:szCs w:val="24"/>
              </w:rPr>
              <w:t>。当</w:t>
            </w:r>
            <m:oMath>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safe</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oMath>
            <w:r>
              <w:rPr>
                <w:rFonts w:ascii="宋体" w:hAnsi="宋体" w:eastAsia="宋体" w:cs="宋体"/>
                <w:sz w:val="24"/>
                <w:szCs w:val="24"/>
              </w:rPr>
              <w:t>时，说明系统仍处于可接受的安全范围内，此时采用性能收益减安全惩罚的方式对策略进行联合优化；当</w:t>
            </w:r>
            <m:oMath>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safe</m:t>
                  </m:r>
                  <m:ctrlPr>
                    <w:rPr>
                      <w:rFonts w:ascii="Cambria Math" w:hAnsi="Cambria Math" w:eastAsia="宋体"/>
                      <w:sz w:val="24"/>
                    </w:rPr>
                  </m:ctrlPr>
                </m:sup>
              </m:sSubSup>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oMath>
            <w:r>
              <w:rPr>
                <w:rFonts w:ascii="宋体" w:hAnsi="宋体" w:eastAsia="宋体" w:cs="宋体"/>
                <w:sz w:val="24"/>
                <w:szCs w:val="24"/>
              </w:rPr>
              <w:t>时，说明当前策略已经违反安全约束，需要临时切换至约束校正模式，优先降低系统安全风险。相应的联合奖励函数设计如下：</w:t>
            </w:r>
          </w:p>
          <w:p w14:paraId="5536A3E5">
            <w:pPr>
              <w:bidi w:val="0"/>
              <w:ind w:firstLine="480" w:firstLineChars="200"/>
              <w:jc w:val="center"/>
              <w:rPr>
                <w:rFonts w:hint="default" w:ascii="宋体" w:hAnsi="宋体" w:eastAsia="宋体" w:cs="宋体"/>
                <w:sz w:val="24"/>
                <w:szCs w:val="24"/>
                <w:lang w:val="en-US" w:eastAsia="zh-CN"/>
              </w:rPr>
            </w:pP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left"/>
                          </m:mcPr>
                        </m:mc>
                      </m:mcs>
                      <m:plcHide m:val="1"/>
                      <m:ctrlPr>
                        <w:rPr>
                          <w:rFonts w:hint="default" w:ascii="Cambria Math" w:hAnsi="Cambria Math" w:eastAsia="宋体"/>
                          <w:i/>
                          <w:sz w:val="24"/>
                        </w:rPr>
                      </m:ctrlPr>
                    </m:mPr>
                    <m:mr>
                      <m:e>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perf</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safe</m:t>
                            </m:r>
                            <m:ctrlPr>
                              <w:rPr>
                                <w:rFonts w:ascii="Cambria Math" w:hAnsi="Cambria Math" w:eastAsia="宋体"/>
                                <w:sz w:val="24"/>
                              </w:rPr>
                            </m:ctrlPr>
                          </m:sup>
                        </m:sSubSup>
                        <m:r>
                          <m:rPr/>
                          <w:rPr>
                            <w:rFonts w:hint="default" w:ascii="Cambria Math" w:hAnsi="Cambria Math" w:eastAsia="宋体"/>
                            <w:sz w:val="24"/>
                          </w:rPr>
                          <m:t>,</m:t>
                        </m:r>
                        <m:ctrlPr>
                          <w:rPr>
                            <w:rFonts w:hint="default" w:ascii="Cambria Math" w:hAnsi="Cambria Math" w:eastAsia="宋体"/>
                            <w:sz w:val="24"/>
                          </w:rPr>
                        </m:ctrlPr>
                      </m:e>
                      <m:e>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safe</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ctrlPr>
                          <w:rPr>
                            <w:rFonts w:hint="default" w:ascii="Cambria Math" w:hAnsi="Cambria Math" w:eastAsia="宋体"/>
                            <w:sz w:val="24"/>
                          </w:rPr>
                        </m:ctrlPr>
                      </m:e>
                    </m:mr>
                    <m:mr>
                      <m:e>
                        <m:r>
                          <m:rPr/>
                          <w:rPr>
                            <w:rFonts w:hint="default" w:ascii="Cambria Math" w:hAnsi="Cambria Math" w:eastAsia="宋体"/>
                            <w:sz w:val="24"/>
                          </w:rPr>
                          <m:t>−η</m:t>
                        </m:r>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safe</m:t>
                            </m:r>
                            <m:ctrlPr>
                              <w:rPr>
                                <w:rFonts w:ascii="Cambria Math" w:hAnsi="Cambria Math" w:eastAsia="宋体"/>
                                <w:sz w:val="24"/>
                              </w:rPr>
                            </m:ctrlPr>
                          </m:sup>
                        </m:sSubSup>
                        <m:r>
                          <m:rPr/>
                          <w:rPr>
                            <w:rFonts w:hint="default" w:ascii="Cambria Math" w:hAnsi="Cambria Math" w:eastAsia="宋体"/>
                            <w:sz w:val="24"/>
                          </w:rPr>
                          <m:t>,</m:t>
                        </m:r>
                        <m:ctrlPr>
                          <w:rPr>
                            <w:rFonts w:hint="default" w:ascii="Cambria Math" w:hAnsi="Cambria Math" w:eastAsia="宋体"/>
                            <w:sz w:val="24"/>
                          </w:rPr>
                        </m:ctrlPr>
                      </m:e>
                      <m:e>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safe</m:t>
                            </m:r>
                            <m:ctrlPr>
                              <w:rPr>
                                <w:rFonts w:ascii="Cambria Math" w:hAnsi="Cambria Math" w:eastAsia="宋体"/>
                                <w:sz w:val="24"/>
                              </w:rPr>
                            </m:ctrlPr>
                          </m:sup>
                        </m:sSubSup>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default" w:ascii="Times New Roman" w:hAnsi="Times New Roman" w:cs="Times New Roman" w:eastAsiaTheme="minorEastAsia"/>
                <w:b/>
                <w:bCs w:val="0"/>
                <w:i w:val="0"/>
                <w:sz w:val="24"/>
                <w:lang w:val="en-US" w:eastAsia="zh-CN"/>
              </w:rPr>
              <w:t>(6-3)</w:t>
            </w:r>
          </w:p>
          <w:p w14:paraId="3CF32F75">
            <w:pPr>
              <w:bidi w:val="0"/>
              <w:ind w:firstLine="480" w:firstLineChars="200"/>
              <w:rPr>
                <w:rFonts w:ascii="宋体" w:hAnsi="宋体" w:eastAsia="宋体" w:cs="宋体"/>
                <w:sz w:val="24"/>
                <w:szCs w:val="24"/>
              </w:rPr>
            </w:pPr>
            <w:r>
              <w:rPr>
                <w:rFonts w:ascii="宋体" w:hAnsi="宋体" w:eastAsia="宋体" w:cs="宋体"/>
                <w:sz w:val="24"/>
                <w:szCs w:val="24"/>
              </w:rPr>
              <w:t>其中，</w:t>
            </w:r>
            <m:oMath>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宋体" w:hAnsi="宋体" w:eastAsia="宋体" w:cs="宋体"/>
                <w:sz w:val="24"/>
                <w:szCs w:val="24"/>
              </w:rPr>
              <w:t>表示正常训练阶段的安全惩罚系数，</w:t>
            </w:r>
            <m:oMath>
              <m:r>
                <m:rPr/>
                <w:rPr>
                  <w:rFonts w:hint="default" w:ascii="Cambria Math" w:hAnsi="Cambria Math" w:eastAsia="宋体"/>
                  <w:sz w:val="24"/>
                </w:rPr>
                <m:t>η</m:t>
              </m:r>
            </m:oMath>
            <w:r>
              <w:rPr>
                <w:rFonts w:ascii="宋体" w:hAnsi="宋体" w:eastAsia="宋体" w:cs="宋体"/>
                <w:sz w:val="24"/>
                <w:szCs w:val="24"/>
              </w:rPr>
              <w:t>表示约束校正阶段的惩罚强度。当系统处于安全区域时，模型仍以提升综合收益为主要目标，同时兼顾安全代价；当系统超出安全范围时，模型将暂时优先学习降低能耗、缓解拥塞和减少失败卸载的策略，使其尽快回到安全区域。</w:t>
            </w:r>
          </w:p>
          <w:p w14:paraId="3CB3A57B">
            <w:pPr>
              <w:bidi w:val="0"/>
              <w:ind w:firstLine="480" w:firstLineChars="200"/>
            </w:pPr>
            <w:r>
              <w:t>为了避免固定惩罚系数过强或过弱的问题，</w:t>
            </w:r>
            <w:r>
              <w:rPr>
                <w:rFonts w:hint="eastAsia"/>
                <w:lang w:val="en-US" w:eastAsia="zh-CN"/>
              </w:rPr>
              <w:t>本文</w:t>
            </w:r>
            <w:r>
              <w:t>进一步考虑引入动态惩罚系数，使其能够随约束违反程度自适应变化。具体形式为：</w:t>
            </w:r>
          </w:p>
          <w:p w14:paraId="26930AFF">
            <w:pPr>
              <w:bidi w:val="0"/>
              <w:jc w:val="center"/>
            </w:pP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+k⋅</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d>
                    <m:dPr>
                      <m:ctrlPr>
                        <w:rPr>
                          <w:rFonts w:hint="default" w:ascii="Cambria Math" w:hAnsi="Cambria Math" w:eastAsia="宋体"/>
                          <w:i/>
                          <w:sz w:val="24"/>
                        </w:rPr>
                      </m:ctrlPr>
                    </m:dPr>
                    <m:e>
                      <m:r>
                        <m:rPr/>
                        <w:rPr>
                          <w:rFonts w:hint="default" w:ascii="Cambria Math" w:hAnsi="Cambria Math" w:eastAsia="宋体"/>
                          <w:sz w:val="24"/>
                        </w:rPr>
                        <m:t>0,</m:t>
                      </m:r>
                      <m:r>
                        <m:rPr>
                          <m:sty m:val="p"/>
                        </m:rPr>
                        <w:rPr>
                          <w:rFonts w:hint="default" w:ascii="Cambria Math" w:hAnsi="Cambria Math" w:eastAsia="宋体"/>
                          <w:sz w:val="24"/>
                        </w:rPr>
                        <m:t xml:space="preserve"> </m:t>
                      </m:r>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safe</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func>
            </m:oMath>
            <w:r>
              <w:rPr>
                <w:rFonts w:hint="eastAsia" w:hAnsi="Cambria Math"/>
                <w:i w:val="0"/>
                <w:sz w:val="24"/>
                <w:lang w:val="en-US" w:eastAsia="zh-CN"/>
              </w:rPr>
              <w:t xml:space="preserve">                  </w:t>
            </w:r>
            <w:r>
              <w:rPr>
                <w:rFonts w:hint="default" w:ascii="Times New Roman" w:hAnsi="Times New Roman" w:cs="Times New Roman"/>
                <w:i w:val="0"/>
                <w:sz w:val="24"/>
                <w:lang w:val="en-US" w:eastAsia="zh-CN"/>
              </w:rPr>
              <w:t xml:space="preserve"> </w:t>
            </w:r>
            <w:r>
              <w:rPr>
                <w:rFonts w:hint="default" w:ascii="Times New Roman" w:hAnsi="Times New Roman" w:cs="Times New Roman"/>
                <w:b/>
                <w:bCs w:val="0"/>
                <w:lang w:val="en-US" w:eastAsia="zh-CN"/>
              </w:rPr>
              <w:t>(6-4)</w:t>
            </w:r>
          </w:p>
          <w:p w14:paraId="48B9030C">
            <w:pPr>
              <w:bidi w:val="0"/>
              <w:ind w:firstLine="480" w:firstLineChars="200"/>
              <w:rPr>
                <w:rFonts w:ascii="宋体" w:hAnsi="宋体" w:eastAsia="宋体" w:cs="宋体"/>
                <w:sz w:val="24"/>
                <w:szCs w:val="24"/>
              </w:rPr>
            </w:pPr>
            <w:r>
              <w:t>其中，</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t>为基础惩罚权重，k为调节系数。当系统安全代价未超过阈值时，惩罚权重保持在基础水平；而当安全代价超过阈值后，惩罚权重将随违反程度增大而增大，从而实现对安全状态的动态调节。这样的设计能够避免在安全风险较低时过度抑制性能优化，同时在安全风险升高时及时强化约束作用。</w:t>
            </w:r>
          </w:p>
          <w:p w14:paraId="48483242">
            <w:pPr>
              <w:bidi w:val="0"/>
              <w:ind w:firstLine="480" w:firstLineChars="200"/>
              <w:rPr>
                <w:rFonts w:ascii="宋体" w:hAnsi="宋体" w:eastAsia="宋体" w:cs="宋体"/>
                <w:sz w:val="24"/>
                <w:szCs w:val="24"/>
              </w:rPr>
            </w:pPr>
            <w:r>
              <w:rPr>
                <w:rFonts w:ascii="宋体" w:hAnsi="宋体" w:eastAsia="宋体" w:cs="宋体"/>
                <w:sz w:val="24"/>
                <w:szCs w:val="24"/>
              </w:rPr>
              <w:t>训练实现层面，该机制可以在现有联合</w:t>
            </w:r>
            <w:r>
              <w:rPr>
                <w:rFonts w:hint="default" w:ascii="Times New Roman" w:hAnsi="Times New Roman" w:eastAsia="宋体" w:cs="Times New Roman"/>
                <w:sz w:val="24"/>
                <w:szCs w:val="24"/>
              </w:rPr>
              <w:t>PPO</w:t>
            </w:r>
            <w:r>
              <w:rPr>
                <w:rFonts w:ascii="宋体" w:hAnsi="宋体" w:eastAsia="宋体" w:cs="宋体"/>
                <w:sz w:val="24"/>
                <w:szCs w:val="24"/>
              </w:rPr>
              <w:t>基线框架上直接扩展。当前训练脚本已经形成了完整的</w:t>
            </w:r>
            <w:r>
              <w:rPr>
                <w:rFonts w:hint="default" w:ascii="Times New Roman" w:hAnsi="Times New Roman" w:eastAsia="宋体" w:cs="Times New Roman"/>
                <w:sz w:val="24"/>
                <w:szCs w:val="24"/>
              </w:rPr>
              <w:t>PPO</w:t>
            </w:r>
            <w:r>
              <w:rPr>
                <w:rFonts w:ascii="宋体" w:hAnsi="宋体" w:eastAsia="宋体" w:cs="宋体"/>
                <w:sz w:val="24"/>
                <w:szCs w:val="24"/>
              </w:rPr>
              <w:t>训练闭环，包括环境交互、动作采样、经验存储、策略更新以及训练统计输出等过程；当前联合</w:t>
            </w:r>
            <w:r>
              <w:rPr>
                <w:rFonts w:hint="default" w:ascii="Times New Roman" w:hAnsi="Times New Roman" w:eastAsia="宋体" w:cs="Times New Roman"/>
                <w:sz w:val="24"/>
                <w:szCs w:val="24"/>
              </w:rPr>
              <w:t>PPO</w:t>
            </w:r>
            <w:r>
              <w:rPr>
                <w:rFonts w:ascii="宋体" w:hAnsi="宋体" w:eastAsia="宋体" w:cs="宋体"/>
                <w:sz w:val="24"/>
                <w:szCs w:val="24"/>
              </w:rPr>
              <w:t>智能体也已经包含共享编码层、卸载动作头、缓存动作头和价值函数头等结构，可在不改变主体网络结构的情况下继续使用。因此，该改进方案不需要重新设计整体训练流程，只需在现有奖励设计和训练判别逻辑上进行增强即可实现。</w:t>
            </w:r>
          </w:p>
          <w:p w14:paraId="0100B85B">
            <w:pPr>
              <w:numPr>
                <w:ilvl w:val="0"/>
                <w:numId w:val="0"/>
              </w:numPr>
              <w:spacing w:line="360" w:lineRule="auto"/>
              <w:ind w:firstLine="480" w:firstLineChars="200"/>
              <w:rPr>
                <w:rFonts w:ascii="宋体" w:hAnsi="宋体" w:eastAsia="宋体" w:cs="宋体"/>
                <w:sz w:val="24"/>
                <w:szCs w:val="24"/>
              </w:rPr>
            </w:pPr>
            <w:r>
              <w:rPr>
                <w:rFonts w:ascii="宋体" w:hAnsi="宋体" w:eastAsia="宋体" w:cs="宋体"/>
                <w:sz w:val="24"/>
                <w:szCs w:val="24"/>
              </w:rPr>
              <w:t>该改进方案的优点在于：一方面，它保留了现有联合</w:t>
            </w:r>
            <w:r>
              <w:rPr>
                <w:rFonts w:hint="default" w:ascii="Times New Roman" w:hAnsi="Times New Roman" w:eastAsia="宋体" w:cs="Times New Roman"/>
                <w:sz w:val="24"/>
                <w:szCs w:val="24"/>
              </w:rPr>
              <w:t>PPO</w:t>
            </w:r>
            <w:r>
              <w:rPr>
                <w:rFonts w:ascii="宋体" w:hAnsi="宋体" w:eastAsia="宋体" w:cs="宋体"/>
                <w:sz w:val="24"/>
                <w:szCs w:val="24"/>
              </w:rPr>
              <w:t>基线框架的主体结构，不会显著增加系统实现复杂度；另一方面，它能够将性能优化和安全控制从单一混合奖励中适当分离出来，使模型在追求任务完成率和缓存命中率提升的同时，更加明确地受到能耗、拥塞和失败卸载等安全因素的约束。预期通过该机制，可以提高策略在复杂场景下的训练稳定性、运行安全性和结果可解释性，也更符合空天地一体化网络中资源受限和安全优先的实际需求。</w:t>
            </w:r>
          </w:p>
          <w:p w14:paraId="31705A8D">
            <w:pPr>
              <w:numPr>
                <w:ilvl w:val="0"/>
                <w:numId w:val="0"/>
              </w:numPr>
              <w:spacing w:line="360" w:lineRule="auto"/>
              <w:ind w:firstLine="240" w:firstLineChars="100"/>
              <w:rPr>
                <w:rFonts w:hint="eastAsia" w:ascii="宋体" w:eastAsia="宋体" w:cs="宋体"/>
              </w:rPr>
            </w:pPr>
            <w:r>
              <w:rPr>
                <w:rFonts w:hint="eastAsia" w:ascii="宋体" w:eastAsia="宋体" w:cs="宋体"/>
                <w:lang w:val="en-US" w:eastAsia="zh-CN"/>
              </w:rPr>
              <w:t>6.2</w:t>
            </w:r>
            <w:r>
              <w:rPr>
                <w:rFonts w:ascii="宋体" w:hAnsi="宋体" w:eastAsia="宋体" w:cs="宋体"/>
                <w:sz w:val="24"/>
                <w:szCs w:val="24"/>
              </w:rPr>
              <w:t>基于学习进度的课程难度自适应训练机制</w:t>
            </w:r>
          </w:p>
          <w:p w14:paraId="47D86895">
            <w:pPr>
              <w:bidi w:val="0"/>
              <w:ind w:firstLine="480" w:firstLineChars="200"/>
            </w:pPr>
            <w:r>
              <w:t>在当前固定环境难度下，强化学习模型需要从训练初期就直接面对完整复杂场景，这容易导致训练初期探索困难、回报波动较大以及策略更新不稳定。参考课程学习相关研究，传统仅依据</w:t>
            </w:r>
            <w:r>
              <w:rPr>
                <w:rFonts w:hint="default" w:ascii="Times New Roman" w:hAnsi="Times New Roman" w:cs="Times New Roman"/>
              </w:rPr>
              <w:t>episode</w:t>
            </w:r>
            <w:r>
              <w:rPr>
                <w:rFonts w:hint="eastAsia"/>
                <w:lang w:val="en-US" w:eastAsia="zh-CN"/>
              </w:rPr>
              <w:t>和</w:t>
            </w:r>
            <w:r>
              <w:rPr>
                <w:rFonts w:hint="default" w:ascii="Times New Roman" w:hAnsi="Times New Roman" w:cs="Times New Roman"/>
              </w:rPr>
              <w:t>return</w:t>
            </w:r>
            <w:r>
              <w:t>调整任务难度的方法存在方差较大、难以准确反映真实学习进展的问题，而采用</w:t>
            </w:r>
            <w:r>
              <w:rPr>
                <w:rFonts w:hint="default" w:ascii="Times New Roman" w:hAnsi="Times New Roman" w:cs="Times New Roman"/>
              </w:rPr>
              <w:t>TD-error</w:t>
            </w:r>
            <w:r>
              <w:t>或</w:t>
            </w:r>
            <w:r>
              <w:rPr>
                <w:rFonts w:hint="default" w:ascii="Times New Roman" w:hAnsi="Times New Roman" w:cs="Times New Roman"/>
              </w:rPr>
              <w:t>critic</w:t>
            </w:r>
            <w:r>
              <w:rPr>
                <w:rFonts w:hint="default" w:ascii="Times New Roman" w:hAnsi="Times New Roman" w:cs="Times New Roman"/>
                <w:lang w:val="en-US" w:eastAsia="zh-CN"/>
              </w:rPr>
              <w:t xml:space="preserve"> </w:t>
            </w:r>
            <w:r>
              <w:rPr>
                <w:rFonts w:hint="default" w:ascii="Times New Roman" w:hAnsi="Times New Roman" w:cs="Times New Roman"/>
              </w:rPr>
              <w:t>value loss</w:t>
            </w:r>
            <w:r>
              <w:t>作为</w:t>
            </w:r>
            <w:r>
              <w:rPr>
                <w:rFonts w:hint="default" w:ascii="Times New Roman" w:hAnsi="Times New Roman" w:cs="Times New Roman"/>
              </w:rPr>
              <w:t>learning progress</w:t>
            </w:r>
            <w:r>
              <w:t>指标，能够更稳定地衡量模型在当前任务上的学习程度，并据此驱动课程难度的自适应变化。结合当前基线代码已经能够在</w:t>
            </w:r>
            <w:r>
              <w:rPr>
                <w:rFonts w:hint="default" w:ascii="Times New Roman" w:hAnsi="Times New Roman" w:cs="Times New Roman"/>
              </w:rPr>
              <w:t>PPO</w:t>
            </w:r>
            <w:r>
              <w:t>更新阶段输出</w:t>
            </w:r>
            <w:r>
              <w:rPr>
                <w:rFonts w:hint="default" w:ascii="Times New Roman" w:hAnsi="Times New Roman" w:cs="Times New Roman"/>
              </w:rPr>
              <w:t>value loss</w:t>
            </w:r>
            <w:r>
              <w:t>信息，本文拟在现有训练框架基础上引入一种基于学习进度的课程难度自适应训练机制。</w:t>
            </w:r>
          </w:p>
          <w:p w14:paraId="35EBE972">
            <w:pPr>
              <w:bidi w:val="0"/>
              <w:rPr>
                <w:rFonts w:hint="eastAsia" w:eastAsia="宋体"/>
                <w:lang w:val="en-US" w:eastAsia="zh-CN"/>
              </w:rPr>
            </w:pPr>
            <w:r>
              <w:t>为了避免直接使用单轮回报作为课程推进依据所带来的较大波动，本文首先引入基于</w:t>
            </w:r>
            <w:r>
              <w:rPr>
                <w:rFonts w:hint="default" w:ascii="Times New Roman" w:hAnsi="Times New Roman" w:cs="Times New Roman"/>
              </w:rPr>
              <w:t>critic value loss</w:t>
            </w:r>
            <w:r>
              <w:t>的学习进度指标，并采用指数滑动平均方式对其进行平滑处理。</w:t>
            </w:r>
            <w:r>
              <w:rPr>
                <w:rFonts w:hint="eastAsia"/>
                <w:lang w:val="en-US" w:eastAsia="zh-CN"/>
              </w:rPr>
              <w:t>拟定</w:t>
            </w:r>
            <w:r>
              <w:t>第</w:t>
            </w:r>
            <w:r>
              <w:rPr>
                <w:rFonts w:hint="default" w:ascii="Times New Roman" w:hAnsi="Times New Roman" w:cs="Times New Roman"/>
              </w:rPr>
              <w:t>k</w:t>
            </w:r>
            <w:r>
              <w:t>个训练窗口内的学习进度指标为</w:t>
            </w:r>
            <w:r>
              <w:rPr>
                <w:rFonts w:hint="eastAsia"/>
                <w:lang w:val="en-US" w:eastAsia="zh-CN"/>
              </w:rPr>
              <w:t>:</w:t>
            </w:r>
          </w:p>
          <w:p w14:paraId="7FB61BE7">
            <w:pPr>
              <w:bidi w:val="0"/>
              <w:jc w:val="center"/>
            </w:pPr>
            <w:r>
              <w:rPr>
                <w:rFonts w:hint="eastAsia" w:hAnsi="Cambria Math"/>
                <w:i w:val="0"/>
                <w:sz w:val="24"/>
                <w:lang w:val="en-US" w:eastAsia="zh-CN"/>
              </w:rPr>
              <w:t xml:space="preserve">                  </w:t>
            </w:r>
            <m:oMath>
              <m:r>
                <m:rPr/>
                <w:rPr>
                  <w:rFonts w:hint="default" w:ascii="Cambria Math" w:hAnsi="Cambria Math" w:eastAsia="宋体"/>
                  <w:sz w:val="24"/>
                </w:rPr>
                <m:t>L</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=ρL</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+(1−ρ)</m:t>
              </m:r>
              <m:sSubSup>
                <m:sSubSupPr>
                  <m:ctrlPr>
                    <w:rPr>
                      <w:rFonts w:hint="default" w:ascii="Cambria Math" w:hAnsi="Cambria Math" w:eastAsia="宋体"/>
                      <w:sz w:val="24"/>
                    </w:rPr>
                  </m:ctrlPr>
                </m:sSubSup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oMath>
            <w:r>
              <w:rPr>
                <w:rFonts w:hint="eastAsia" w:hAnsi="Cambria Math"/>
                <w:i w:val="0"/>
                <w:sz w:val="24"/>
                <w:lang w:val="en-US" w:eastAsia="zh-CN"/>
              </w:rPr>
              <w:t xml:space="preserve">                   </w:t>
            </w:r>
            <w:r>
              <w:rPr>
                <w:rFonts w:hint="default" w:ascii="Times New Roman" w:hAnsi="Times New Roman" w:cs="Times New Roman"/>
                <w:b/>
                <w:bCs w:val="0"/>
                <w:lang w:val="en-US" w:eastAsia="zh-CN"/>
              </w:rPr>
              <w:t>(6-5)</w:t>
            </w:r>
          </w:p>
          <w:p w14:paraId="5AD09170">
            <w:pPr>
              <w:bidi w:val="0"/>
              <w:ind w:firstLine="480" w:firstLineChars="200"/>
            </w:pPr>
            <w:r>
              <w:t>其中，</w:t>
            </w:r>
            <m:oMath>
              <m:r>
                <m:rPr>
                  <m:sty m:val="p"/>
                </m:rPr>
                <w:rPr>
                  <w:rFonts w:hint="default" w:ascii="Times New Roman" w:hAnsi="Times New Roman"/>
                </w:rPr>
                <m:t>L</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t>表示第k个训练窗口的学习进度指标，</w:t>
            </w:r>
            <m:oMath>
              <m:sSubSup>
                <m:sSubSupPr>
                  <m:ctrlPr>
                    <w:rPr>
                      <w:rFonts w:hint="default" w:ascii="Cambria Math" w:hAnsi="Cambria Math"/>
                    </w:rPr>
                  </m:ctrlPr>
                </m:sSubSup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k</m:t>
                  </m:r>
                  <m:ctrlPr>
                    <w:rPr>
                      <w:rFonts w:ascii="Cambria Math" w:hAnsi="Cambria Math"/>
                    </w:rPr>
                  </m:ctrlPr>
                </m:sub>
                <m:sup>
                  <m:r>
                    <m:rPr>
                      <m:sty m:val="p"/>
                    </m:rPr>
                    <w:rPr>
                      <w:rFonts w:hint="default" w:ascii="Times New Roman" w:hAnsi="Times New Roman"/>
                    </w:rPr>
                    <m:t>v</m:t>
                  </m:r>
                  <m:ctrlPr>
                    <w:rPr>
                      <w:rFonts w:ascii="Cambria Math" w:hAnsi="Cambria Math"/>
                    </w:rPr>
                  </m:ctrlPr>
                </m:sup>
              </m:sSubSup>
            </m:oMath>
            <w:r>
              <w:t>表示该窗口对应的平均</w:t>
            </w:r>
            <w:r>
              <w:rPr>
                <w:rFonts w:hint="default" w:ascii="Times New Roman" w:hAnsi="Times New Roman" w:cs="Times New Roman"/>
              </w:rPr>
              <w:t>value loss</w:t>
            </w:r>
            <w:r>
              <w:t>，</w:t>
            </w:r>
            <m:oMath>
              <m:r>
                <m:rPr>
                  <m:sty m:val="p"/>
                </m:rPr>
                <w:rPr>
                  <w:rFonts w:hint="default" w:ascii="Times New Roman" w:hAnsi="Times New Roman"/>
                </w:rPr>
                <m:t>ρ</m:t>
              </m:r>
            </m:oMath>
            <w:r>
              <w:t>为平滑系数。</w:t>
            </w:r>
            <w:r>
              <w:rPr>
                <w:rFonts w:hint="eastAsia"/>
                <w:lang w:val="en-US" w:eastAsia="zh-CN"/>
              </w:rPr>
              <w:t>当</w:t>
            </w:r>
            <w:r>
              <w:t>当前难度下的</w:t>
            </w:r>
            <w:r>
              <w:rPr>
                <w:rFonts w:hint="default" w:ascii="Times New Roman" w:hAnsi="Times New Roman" w:cs="Times New Roman"/>
              </w:rPr>
              <w:t>value loss</w:t>
            </w:r>
            <w:r>
              <w:t>持续下降时，说明模型在该场景中的学习趋于充分；而当</w:t>
            </w:r>
            <w:r>
              <w:rPr>
                <w:rFonts w:hint="default" w:ascii="Times New Roman" w:hAnsi="Times New Roman" w:cs="Times New Roman"/>
              </w:rPr>
              <w:t>value loss</w:t>
            </w:r>
            <w:r>
              <w:t>仍然较高时，则说明模型尚处于持续学习阶段，不宜过早提升训练难度。</w:t>
            </w:r>
          </w:p>
          <w:p w14:paraId="7BC3FA6F">
            <w:pPr>
              <w:bidi w:val="0"/>
              <w:ind w:firstLine="480" w:firstLineChars="200"/>
            </w:pPr>
            <w:r>
              <w:t>考虑到当前环境状态维度与无人机数量直接相关，因此不宜直接改变网格规模或</w:t>
            </w:r>
            <w:r>
              <w:rPr>
                <w:rFonts w:hint="default" w:ascii="Times New Roman" w:hAnsi="Times New Roman" w:cs="Times New Roman"/>
              </w:rPr>
              <w:t>UAV</w:t>
            </w:r>
            <w:r>
              <w:t>数量，以避免网络输入维度发生变化。基于这一实际约束，本文拟选择不会改变状态维度、但能够有效改变任务难度的环境参数作为课程变量，包括区域内活跃</w:t>
            </w:r>
            <w:r>
              <w:rPr>
                <w:rFonts w:hint="default" w:ascii="Times New Roman" w:hAnsi="Times New Roman" w:cs="Times New Roman"/>
              </w:rPr>
              <w:t>IoT</w:t>
            </w:r>
            <w:r>
              <w:t>数量、</w:t>
            </w:r>
            <w:r>
              <w:rPr>
                <w:rFonts w:hint="default" w:ascii="Times New Roman" w:hAnsi="Times New Roman" w:cs="Times New Roman"/>
              </w:rPr>
              <w:t>UAV</w:t>
            </w:r>
            <w:r>
              <w:t>缓存容量、</w:t>
            </w:r>
            <w:r>
              <w:rPr>
                <w:rFonts w:hint="default" w:ascii="Times New Roman" w:hAnsi="Times New Roman" w:cs="Times New Roman"/>
              </w:rPr>
              <w:t>UAV</w:t>
            </w:r>
            <w:r>
              <w:t>计算能力、初始能量以及可用</w:t>
            </w:r>
            <w:r>
              <w:rPr>
                <w:rFonts w:hint="default" w:ascii="Times New Roman" w:hAnsi="Times New Roman" w:cs="Times New Roman"/>
              </w:rPr>
              <w:t>OFDM</w:t>
            </w:r>
            <w:r>
              <w:t>资源数量等。进一步地，将训练环境划分为若干离散难度等级，不同等级下的环境参数设计如</w:t>
            </w:r>
            <w:r>
              <w:rPr>
                <w:b w:val="0"/>
                <w:bCs/>
              </w:rPr>
              <w:t>表1</w:t>
            </w:r>
            <w:r>
              <w:t>所示。在低难度阶段，采用较低任务负载、较充足缓存与能量资源以及较宽松的通信条件，使模型先学习基本决策规律；随着训练推进，再逐步过渡到中等难度和目标难度场景，最终进入更高负载、更紧张资源条件下的高难度环境，以提升策略的鲁棒性。</w:t>
            </w:r>
          </w:p>
          <w:p w14:paraId="1E5D7849">
            <w:pPr>
              <w:bidi w:val="0"/>
              <w:ind w:firstLine="480" w:firstLineChars="200"/>
              <w:jc w:val="center"/>
            </w:pPr>
            <w:r>
              <w:drawing>
                <wp:inline distT="0" distB="0" distL="114300" distR="114300">
                  <wp:extent cx="5600065" cy="1266825"/>
                  <wp:effectExtent l="0" t="0" r="825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600065" cy="1266825"/>
                          </a:xfrm>
                          <a:prstGeom prst="rect">
                            <a:avLst/>
                          </a:prstGeom>
                          <a:noFill/>
                          <a:ln>
                            <a:noFill/>
                          </a:ln>
                        </pic:spPr>
                      </pic:pic>
                    </a:graphicData>
                  </a:graphic>
                </wp:inline>
              </w:drawing>
            </w:r>
          </w:p>
          <w:p w14:paraId="167A8110">
            <w:pPr>
              <w:bidi w:val="0"/>
              <w:jc w:val="center"/>
              <w:rPr>
                <w:rFonts w:hint="default" w:eastAsia="宋体"/>
                <w:lang w:val="en-US" w:eastAsia="zh-CN"/>
              </w:rPr>
            </w:pPr>
            <w:r>
              <w:rPr>
                <w:rFonts w:hint="eastAsia"/>
                <w:lang w:val="en-US" w:eastAsia="zh-CN"/>
              </w:rPr>
              <w:t>表1</w:t>
            </w:r>
            <w:r>
              <w:rPr>
                <w:rFonts w:ascii="宋体" w:hAnsi="宋体" w:eastAsia="宋体" w:cs="宋体"/>
                <w:sz w:val="24"/>
                <w:szCs w:val="24"/>
              </w:rPr>
              <w:t>课程难度自适应训练中的环境难度分级设计</w:t>
            </w:r>
          </w:p>
          <w:p w14:paraId="3659050F">
            <w:pPr>
              <w:bidi w:val="0"/>
              <w:ind w:firstLine="480" w:firstLineChars="200"/>
              <w:rPr>
                <w:rFonts w:hint="eastAsia" w:eastAsia="宋体"/>
                <w:lang w:val="en-US" w:eastAsia="zh-CN"/>
              </w:rPr>
            </w:pPr>
            <w:r>
              <w:t>在难度调节机制方面，本文拟综合当前训练窗口内的平均回报与学习进度指标来判断模型是否已经学会当前难度。当平均回报达到当前难度等级对应阈值，且学习进度指标已降低至较低水平时，可认为模型在当前场景下的学习已趋于充分，其升级条件定义为</w:t>
            </w:r>
            <w:r>
              <w:rPr>
                <w:rFonts w:hint="eastAsia"/>
                <w:lang w:val="en-US" w:eastAsia="zh-CN"/>
              </w:rPr>
              <w:t>:</w:t>
            </w:r>
          </w:p>
          <w:p w14:paraId="629A5E1F">
            <w:pPr>
              <w:bidi w:val="0"/>
              <w:jc w:val="center"/>
            </w:pPr>
            <w:r>
              <w:rPr>
                <w:rFonts w:hint="eastAsia" w:hAnsi="Cambria Math"/>
                <w:i w:val="0"/>
                <w:sz w:val="24"/>
                <w:lang w:val="en-US" w:eastAsia="zh-CN"/>
              </w:rPr>
              <w:t xml:space="preserve">                  </w:t>
            </w:r>
            <m:oMath>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R</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hint="default" w:ascii="Cambria Math" w:hAnsi="Cambria Math" w:eastAsia="宋体"/>
                      <w:sz w:val="24"/>
                    </w:rPr>
                  </m:ctrlPr>
                </m:e>
                <m:sub>
                  <m:r>
                    <m:rPr>
                      <m:sty m:val="p"/>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(l)</m:t>
                  </m:r>
                  <m:ctrlPr>
                    <w:rPr>
                      <w:rFonts w:hint="default" w:ascii="Cambria Math" w:hAnsi="Cambria Math" w:eastAsia="宋体"/>
                      <w:sz w:val="24"/>
                    </w:rPr>
                  </m:ctrlPr>
                </m:sup>
              </m:sSubSup>
              <m:r>
                <m:rPr/>
                <w:rPr>
                  <w:rFonts w:hint="default" w:ascii="Cambria Math" w:hAnsi="Cambria Math" w:eastAsia="宋体"/>
                  <w:sz w:val="24"/>
                </w:rPr>
                <m:t> </m:t>
              </m:r>
              <m:r>
                <m:rPr>
                  <m:sty m:val="p"/>
                </m:rPr>
                <w:rPr>
                  <w:rFonts w:hint="default" w:ascii="Cambria Math" w:hAnsi="Cambria Math" w:eastAsia="宋体"/>
                  <w:sz w:val="24"/>
                </w:rPr>
                <m:t>且</m:t>
              </m:r>
              <m:r>
                <m:rPr/>
                <w:rPr>
                  <w:rFonts w:hint="default" w:ascii="Cambria Math" w:hAnsi="Cambria Math" w:eastAsia="宋体"/>
                  <w:sz w:val="24"/>
                </w:rPr>
                <m:t> L</m:t>
              </m:r>
              <m:sSub>
                <m:sSubPr>
                  <m:ctrlPr>
                    <w:rPr>
                      <w:rFonts w:hint="default" w:ascii="Cambria Math" w:hAnsi="Cambria Math" w:eastAsia="宋体"/>
                      <w:sz w:val="24"/>
                    </w:rPr>
                  </m:ctrlPr>
                </m:sSubPr>
                <m:e>
                  <m:r>
                    <m:rPr/>
                    <w:rPr>
                      <w:rFonts w:hint="default" w:ascii="Cambria Math" w:hAnsi="Cambria Math" w:eastAsia="宋体"/>
                      <w:sz w:val="24"/>
                    </w:rPr>
                    <m:t>P</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hint="default" w:ascii="Cambria Math" w:hAnsi="Cambria Math" w:eastAsia="宋体"/>
                      <w:sz w:val="24"/>
                    </w:rPr>
                  </m:ctrlPr>
                </m:e>
                <m:sub>
                  <m:r>
                    <m:rPr/>
                    <w:rPr>
                      <w:rFonts w:hint="default" w:ascii="Cambria Math" w:hAnsi="Cambria Math" w:eastAsia="宋体"/>
                      <w:sz w:val="24"/>
                    </w:rPr>
                    <m:t>lp</m:t>
                  </m:r>
                  <m:ctrlPr>
                    <w:rPr>
                      <w:rFonts w:hint="default" w:ascii="Cambria Math" w:hAnsi="Cambria Math" w:eastAsia="宋体"/>
                      <w:sz w:val="24"/>
                    </w:rPr>
                  </m:ctrlPr>
                </m:sub>
              </m:sSub>
            </m:oMath>
            <w:r>
              <w:rPr>
                <w:rFonts w:hint="eastAsia" w:hAnsi="Cambria Math"/>
                <w:i w:val="0"/>
                <w:sz w:val="24"/>
                <w:lang w:val="en-US" w:eastAsia="zh-CN"/>
              </w:rPr>
              <w:t xml:space="preserve">                   </w:t>
            </w:r>
            <w:r>
              <w:rPr>
                <w:rFonts w:hint="default" w:ascii="Times New Roman" w:hAnsi="Times New Roman" w:cs="Times New Roman"/>
                <w:b/>
                <w:bCs w:val="0"/>
                <w:lang w:val="en-US" w:eastAsia="zh-CN"/>
              </w:rPr>
              <w:t>(6-6)</w:t>
            </w:r>
          </w:p>
          <w:p w14:paraId="4603CED2">
            <w:pPr>
              <w:bidi w:val="0"/>
              <w:ind w:firstLine="480" w:firstLineChars="200"/>
            </w:pPr>
            <w:r>
              <w:t>其中，</w:t>
            </w:r>
            <m:oMath>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R</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oMath>
            <w:r>
              <w:t>表示当前训练窗口平均奖励，</w:t>
            </w:r>
            <m:oMath>
              <m:sSubSup>
                <m:sSubSupPr>
                  <m:ctrlPr>
                    <w:rPr>
                      <w:rFonts w:hint="default" w:ascii="Cambria Math" w:hAnsi="Cambria Math"/>
                    </w:rPr>
                  </m:ctrlPr>
                </m:sSubSup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th</m:t>
                  </m:r>
                  <m:ctrlPr>
                    <w:rPr>
                      <w:rFonts w:ascii="Cambria Math" w:hAnsi="Cambria Math"/>
                    </w:rPr>
                  </m:ctrlPr>
                </m:sub>
                <m:sup>
                  <m:r>
                    <m:rPr>
                      <m:sty m:val="p"/>
                    </m:rPr>
                    <w:rPr>
                      <w:rFonts w:hint="default" w:ascii="Times New Roman" w:hAnsi="Times New Roman"/>
                    </w:rPr>
                    <m:t>(l)</m:t>
                  </m:r>
                  <m:ctrlPr>
                    <w:rPr>
                      <w:rFonts w:ascii="Cambria Math" w:hAnsi="Cambria Math"/>
                    </w:rPr>
                  </m:ctrlPr>
                </m:sup>
              </m:sSubSup>
            </m:oMath>
            <w:r>
              <w:t>表示难度等级</w:t>
            </w:r>
            <m:oMath>
              <m:r>
                <m:rPr>
                  <m:sty m:val="p"/>
                </m:rPr>
                <w:rPr>
                  <w:rFonts w:hint="default" w:ascii="Times New Roman" w:hAnsi="Times New Roman"/>
                </w:rPr>
                <m:t>l</m:t>
              </m:r>
            </m:oMath>
            <w:r>
              <w:t>对应的奖励阈值，</w:t>
            </w:r>
            <m:oMath>
              <m:sSub>
                <m:sSubPr>
                  <m:ctrlPr>
                    <w:rPr>
                      <w:rFonts w:hint="default" w:ascii="Cambria Math" w:hAnsi="Cambria Math"/>
                    </w:rPr>
                  </m:ctrlPr>
                </m:sSub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lp</m:t>
                  </m:r>
                  <m:ctrlPr>
                    <w:rPr>
                      <w:rFonts w:ascii="Cambria Math" w:hAnsi="Cambria Math"/>
                    </w:rPr>
                  </m:ctrlPr>
                </m:sub>
              </m:sSub>
            </m:oMath>
            <w:r>
              <w:t>表示学习进度阈值。满足式（6-6）时，说明模型在当前难度下已经达到较好的训练效果，此时可将训练环境提升至更高等级。</w:t>
            </w:r>
          </w:p>
          <w:p w14:paraId="19C7E84D">
            <w:pPr>
              <w:bidi w:val="0"/>
              <w:ind w:firstLine="480" w:firstLineChars="200"/>
            </w:pPr>
            <w:r>
              <w:t>进一步地，本文设计如下难度切换规则：</w:t>
            </w:r>
          </w:p>
          <w:p w14:paraId="3ED3AEAD">
            <w:pPr>
              <w:bidi w:val="0"/>
              <w:rPr>
                <w:rFonts w:hint="eastAsia"/>
                <w:lang w:val="en-US" w:eastAsia="zh-CN"/>
              </w:rPr>
            </w:pPr>
            <w:r>
              <w:rPr>
                <w:rFonts w:hint="eastAsia"/>
                <w:lang w:val="en-US" w:eastAsia="zh-CN"/>
              </w:rPr>
              <w:t xml:space="preserve">             </w:t>
            </w:r>
            <m:oMath>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k+1</m:t>
                  </m:r>
                  <m:ctrlPr>
                    <w:rPr>
                      <w:rFonts w:hint="default" w:ascii="Cambria Math" w:hAnsi="Cambria Math"/>
                    </w:rPr>
                  </m:ctrlPr>
                </m:sub>
              </m:sSub>
              <m:r>
                <m:rPr>
                  <m:sty m:val="p"/>
                </m:rPr>
                <w:rPr>
                  <w:rFonts w:hint="default" w:ascii="Times New Roman" w:hAnsi="Times New Roman"/>
                </w:rPr>
                <m:t>=</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rPr>
                      </m:ctrlPr>
                    </m:mPr>
                    <m:mr>
                      <m:e>
                        <m:func>
                          <m:funcPr>
                            <m:ctrlPr>
                              <w:rPr>
                                <w:rFonts w:hint="default" w:ascii="Cambria Math" w:hAnsi="Cambria Math"/>
                              </w:rPr>
                            </m:ctrlPr>
                          </m:funcPr>
                          <m:fName>
                            <m:r>
                              <m:rPr>
                                <m:sty m:val="p"/>
                              </m:rPr>
                              <w:rPr>
                                <w:rFonts w:hint="default" w:ascii="Times New Roman" w:hAnsi="Times New Roman"/>
                              </w:rPr>
                              <m:t>min</m:t>
                            </m:r>
                            <m:ctrlPr>
                              <w:rPr>
                                <w:rFonts w:hint="default" w:ascii="Cambria Math" w:hAnsi="Cambria Math"/>
                              </w:rPr>
                            </m:ctrlPr>
                          </m:fName>
                          <m:e>
                            <m:r>
                              <m:rPr>
                                <m:sty m:val="p"/>
                              </m:rPr>
                              <w:rPr>
                                <w:rFonts w:hint="default" w:ascii="Times New Roman" w:hAnsi="Times New Roman"/>
                              </w:rPr>
                              <m:t>(</m:t>
                            </m:r>
                            <m:ctrlPr>
                              <w:rPr>
                                <w:rFonts w:hint="default" w:ascii="Cambria Math" w:hAnsi="Cambria Math"/>
                              </w:rPr>
                            </m:ctrlPr>
                          </m:e>
                        </m:func>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r>
                          <m:rPr>
                            <m:sty m:val="p"/>
                          </m:rPr>
                          <w:rPr>
                            <w:rFonts w:hint="default" w:ascii="Times New Roman" w:hAnsi="Times New Roman"/>
                          </w:rPr>
                          <m:t>+1,</m:t>
                        </m:r>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max</m:t>
                            </m:r>
                            <m:ctrlPr>
                              <w:rPr>
                                <w:rFonts w:hint="default" w:ascii="Cambria Math" w:hAnsi="Cambria Math"/>
                              </w:rPr>
                            </m:ctrlPr>
                          </m:sub>
                        </m:sSub>
                        <m:r>
                          <m:rPr>
                            <m:sty m:val="p"/>
                          </m:rPr>
                          <w:rPr>
                            <w:rFonts w:hint="default" w:ascii="Times New Roman" w:hAnsi="Times New Roman"/>
                          </w:rPr>
                          <m:t>),</m:t>
                        </m:r>
                        <m:ctrlPr>
                          <w:rPr>
                            <w:rFonts w:hint="default" w:ascii="Cambria Math" w:hAnsi="Cambria Math"/>
                          </w:rPr>
                        </m:ctrlPr>
                      </m:e>
                      <m:e>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R</m:t>
                                </m:r>
                                <m:ctrlPr>
                                  <w:rPr>
                                    <w:rFonts w:hint="default" w:ascii="Cambria Math" w:hAnsi="Cambria Math"/>
                                  </w:rPr>
                                </m:ctrlPr>
                              </m:e>
                            </m:acc>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th</m:t>
                            </m:r>
                            <m:ctrlPr>
                              <w:rPr>
                                <w:rFonts w:hint="default" w:ascii="Cambria Math" w:hAnsi="Cambria Math"/>
                              </w:rPr>
                            </m:ctrlPr>
                          </m:sub>
                          <m:sup>
                            <m:r>
                              <m:rPr>
                                <m:sty m:val="p"/>
                              </m:rPr>
                              <w:rPr>
                                <w:rFonts w:hint="default" w:ascii="Times New Roman" w:hAnsi="Times New Roman"/>
                              </w:rPr>
                              <m:t>(l)</m:t>
                            </m:r>
                            <m:ctrlPr>
                              <w:rPr>
                                <w:rFonts w:hint="default" w:ascii="Cambria Math" w:hAnsi="Cambria Math"/>
                              </w:rPr>
                            </m:ctrlPr>
                          </m:sup>
                        </m:sSubSup>
                        <m:r>
                          <m:rPr>
                            <m:sty m:val="p"/>
                          </m:rPr>
                          <w:rPr>
                            <w:rFonts w:hint="default" w:ascii="Times New Roman" w:hAnsi="Times New Roman"/>
                          </w:rPr>
                          <m:t xml:space="preserve"> 且 L</m:t>
                        </m:r>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ε</m:t>
                            </m:r>
                            <m:ctrlPr>
                              <w:rPr>
                                <w:rFonts w:hint="default" w:ascii="Cambria Math" w:hAnsi="Cambria Math"/>
                              </w:rPr>
                            </m:ctrlPr>
                          </m:e>
                          <m:sub>
                            <m:r>
                              <m:rPr>
                                <m:sty m:val="p"/>
                              </m:rPr>
                              <w:rPr>
                                <w:rFonts w:hint="default" w:ascii="Times New Roman" w:hAnsi="Times New Roman"/>
                              </w:rPr>
                              <m:t>lp</m:t>
                            </m:r>
                            <m:ctrlPr>
                              <w:rPr>
                                <w:rFonts w:hint="default" w:ascii="Cambria Math" w:hAnsi="Cambria Math"/>
                              </w:rPr>
                            </m:ctrlPr>
                          </m:sub>
                        </m:sSub>
                        <m:ctrlPr>
                          <w:rPr>
                            <w:rFonts w:hint="default" w:ascii="Cambria Math" w:hAnsi="Cambria Math"/>
                          </w:rPr>
                        </m:ctrlPr>
                      </m:e>
                    </m:mr>
                    <m:mr>
                      <m:e>
                        <m:func>
                          <m:funcPr>
                            <m:ctrlPr>
                              <w:rPr>
                                <w:rFonts w:hint="default" w:ascii="Cambria Math" w:hAnsi="Cambria Math"/>
                              </w:rPr>
                            </m:ctrlPr>
                          </m:funcPr>
                          <m:fName>
                            <m:r>
                              <m:rPr>
                                <m:sty m:val="p"/>
                              </m:rPr>
                              <w:rPr>
                                <w:rFonts w:hint="default" w:ascii="Times New Roman" w:hAnsi="Times New Roman"/>
                              </w:rPr>
                              <m:t>max</m:t>
                            </m:r>
                            <m:ctrlPr>
                              <w:rPr>
                                <w:rFonts w:hint="default" w:ascii="Cambria Math" w:hAnsi="Cambria Math"/>
                              </w:rPr>
                            </m:ctrlPr>
                          </m:fName>
                          <m:e>
                            <m:r>
                              <m:rPr>
                                <m:sty m:val="p"/>
                              </m:rPr>
                              <w:rPr>
                                <w:rFonts w:hint="default" w:ascii="Times New Roman" w:hAnsi="Times New Roman"/>
                              </w:rPr>
                              <m:t>(</m:t>
                            </m:r>
                            <m:ctrlPr>
                              <w:rPr>
                                <w:rFonts w:hint="default" w:ascii="Cambria Math" w:hAnsi="Cambria Math"/>
                              </w:rPr>
                            </m:ctrlPr>
                          </m:e>
                        </m:func>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r>
                          <m:rPr>
                            <m:sty m:val="p"/>
                          </m:rPr>
                          <w:rPr>
                            <w:rFonts w:hint="default" w:ascii="Times New Roman" w:hAnsi="Times New Roman"/>
                          </w:rPr>
                          <m:t>−1,1),</m:t>
                        </m:r>
                        <m:ctrlPr>
                          <w:rPr>
                            <w:rFonts w:hint="default" w:ascii="Cambria Math" w:hAnsi="Cambria Math"/>
                          </w:rPr>
                        </m:ctrlPr>
                      </m:e>
                      <m:e>
                        <m:sSubSup>
                          <m:sSubSupPr>
                            <m:ctrlPr>
                              <w:rPr>
                                <w:rFonts w:hint="default" w:ascii="Cambria Math" w:hAnsi="Cambria Math"/>
                              </w:rPr>
                            </m:ctrlPr>
                          </m:sSubSupPr>
                          <m:e>
                            <m:r>
                              <m:rPr>
                                <m:sty m:val="p"/>
                              </m:rPr>
                              <w:rPr>
                                <w:rFonts w:hint="default" w:ascii="Times New Roman" w:hAnsi="Times New Roman"/>
                              </w:rPr>
                              <m:t>v</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up>
                            <m:r>
                              <m:rPr>
                                <m:sty m:val="p"/>
                              </m:rPr>
                              <w:rPr>
                                <w:rFonts w:hint="default" w:ascii="Times New Roman" w:hAnsi="Times New Roman"/>
                              </w:rPr>
                              <m:t>safe</m:t>
                            </m:r>
                            <m:ctrlPr>
                              <w:rPr>
                                <w:rFonts w:hint="default" w:ascii="Cambria Math" w:hAnsi="Cambria Math"/>
                              </w:rPr>
                            </m:ctrlPr>
                          </m:sup>
                        </m:sSubSup>
                        <m:r>
                          <m:rPr>
                            <m:sty m:val="p"/>
                          </m:rPr>
                          <w:rPr>
                            <w:rFonts w:hint="default" w:ascii="Times New Roman" w:hAnsi="Times New Roman"/>
                          </w:rPr>
                          <m:t>&gt;</m:t>
                        </m:r>
                        <m:sSub>
                          <m:sSubPr>
                            <m:ctrlPr>
                              <w:rPr>
                                <w:rFonts w:hint="default" w:ascii="Cambria Math" w:hAnsi="Cambria Math"/>
                              </w:rPr>
                            </m:ctrlPr>
                          </m:sSubPr>
                          <m:e>
                            <m:r>
                              <m:rPr>
                                <m:sty m:val="p"/>
                              </m:rPr>
                              <w:rPr>
                                <w:rFonts w:hint="default" w:ascii="Times New Roman" w:hAnsi="Times New Roman"/>
                              </w:rPr>
                              <m:t>ε</m:t>
                            </m:r>
                            <m:ctrlPr>
                              <w:rPr>
                                <w:rFonts w:hint="default" w:ascii="Cambria Math" w:hAnsi="Cambria Math"/>
                              </w:rPr>
                            </m:ctrlPr>
                          </m:e>
                          <m:sub>
                            <m:r>
                              <m:rPr>
                                <m:sty m:val="p"/>
                              </m:rPr>
                              <w:rPr>
                                <w:rFonts w:hint="default" w:ascii="Times New Roman" w:hAnsi="Times New Roman"/>
                              </w:rPr>
                              <m:t>safe</m:t>
                            </m:r>
                            <m:ctrlPr>
                              <w:rPr>
                                <w:rFonts w:hint="default" w:ascii="Cambria Math" w:hAnsi="Cambria Math"/>
                              </w:rPr>
                            </m:ctrlPr>
                          </m:sub>
                        </m:sSub>
                        <m:r>
                          <m:rPr>
                            <m:sty m:val="p"/>
                          </m:rPr>
                          <w:rPr>
                            <w:rFonts w:hint="default" w:ascii="Times New Roman" w:hAnsi="Times New Roman"/>
                          </w:rPr>
                          <m:t xml:space="preserve"> 或 </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R</m:t>
                                </m:r>
                                <m:ctrlPr>
                                  <w:rPr>
                                    <w:rFonts w:hint="default" w:ascii="Cambria Math" w:hAnsi="Cambria Math"/>
                                  </w:rPr>
                                </m:ctrlPr>
                              </m:e>
                            </m:acc>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r>
                          <m:rPr>
                            <m:sty m:val="p"/>
                          </m:rPr>
                          <w:rPr>
                            <w:rFonts w:hint="default" w:ascii="Times New Roman" w:hAnsi="Times New Roman"/>
                          </w:rPr>
                          <m:t>连续下降</m:t>
                        </m:r>
                        <m:ctrlPr>
                          <w:rPr>
                            <w:rFonts w:hint="default" w:ascii="Cambria Math" w:hAnsi="Cambria Math"/>
                          </w:rPr>
                        </m:ctrlPr>
                      </m:e>
                    </m:mr>
                    <m:mr>
                      <m:e>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r>
                          <m:rPr>
                            <m:sty m:val="p"/>
                          </m:rPr>
                          <w:rPr>
                            <w:rFonts w:hint="default" w:ascii="Times New Roman" w:hAnsi="Times New Roman"/>
                          </w:rPr>
                          <m:t>,</m:t>
                        </m:r>
                        <m:ctrlPr>
                          <w:rPr>
                            <w:rFonts w:hint="default" w:ascii="Cambria Math" w:hAnsi="Cambria Math"/>
                          </w:rPr>
                        </m:ctrlPr>
                      </m:e>
                      <m:e>
                        <m:r>
                          <m:rPr>
                            <m:sty m:val="p"/>
                          </m:rPr>
                          <w:rPr>
                            <w:rFonts w:hint="default" w:ascii="Times New Roman" w:hAnsi="Times New Roman"/>
                          </w:rPr>
                          <m:t>其他情况</m:t>
                        </m:r>
                        <m:ctrlPr>
                          <w:rPr>
                            <w:rFonts w:hint="default" w:ascii="Cambria Math" w:hAnsi="Cambria Math"/>
                          </w:rPr>
                        </m:ctrlPr>
                      </m:e>
                    </m:mr>
                  </m:m>
                  <m:ctrlPr>
                    <w:rPr>
                      <w:rFonts w:hint="default" w:ascii="Cambria Math" w:hAnsi="Cambria Math"/>
                    </w:rPr>
                  </m:ctrlPr>
                </m:e>
              </m:d>
            </m:oMath>
            <w:r>
              <w:rPr>
                <w:rFonts w:hint="eastAsia"/>
                <w:lang w:val="en-US" w:eastAsia="zh-CN"/>
              </w:rPr>
              <w:t xml:space="preserve">         </w:t>
            </w:r>
            <w:r>
              <w:rPr>
                <w:rFonts w:hint="default" w:ascii="Times New Roman" w:hAnsi="Times New Roman" w:cs="Times New Roman"/>
                <w:b/>
                <w:bCs w:val="0"/>
                <w:lang w:val="en-US" w:eastAsia="zh-CN"/>
              </w:rPr>
              <w:t>(6-7)</w:t>
            </w:r>
          </w:p>
          <w:p w14:paraId="7AD92CAB">
            <w:pPr>
              <w:bidi w:val="0"/>
              <w:ind w:firstLine="480" w:firstLineChars="200"/>
            </w:pPr>
            <w:r>
              <w:t>其中，</w:t>
            </w:r>
            <m:oMath>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oMath>
            <w:r>
              <w:t>表示当前难度等级</w:t>
            </w:r>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max</m:t>
                  </m:r>
                  <m:ctrlPr>
                    <w:rPr>
                      <w:rFonts w:ascii="Cambria Math" w:hAnsi="Cambria Math"/>
                    </w:rPr>
                  </m:ctrlPr>
                </m:sub>
              </m:sSub>
            </m:oMath>
            <w:r>
              <w:t>表示最大难度等级，</w:t>
            </w:r>
            <m:oMath>
              <m:sSubSup>
                <m:sSubSupPr>
                  <m:ctrlPr>
                    <w:rPr>
                      <w:rFonts w:hint="default" w:ascii="Cambria Math" w:hAnsi="Cambria Math"/>
                    </w:rPr>
                  </m:ctrlPr>
                </m:sSubSupPr>
                <m:e>
                  <m:r>
                    <m:rPr>
                      <m:sty m:val="p"/>
                    </m:rPr>
                    <w:rPr>
                      <w:rFonts w:hint="default" w:ascii="Times New Roman" w:hAnsi="Times New Roman"/>
                    </w:rPr>
                    <m:t>v</m:t>
                  </m:r>
                  <m:ctrlPr>
                    <w:rPr>
                      <w:rFonts w:ascii="Cambria Math" w:hAnsi="Cambria Math"/>
                    </w:rPr>
                  </m:ctrlPr>
                </m:e>
                <m:sub>
                  <m:r>
                    <m:rPr>
                      <m:sty m:val="p"/>
                    </m:rPr>
                    <w:rPr>
                      <w:rFonts w:hint="default" w:ascii="Times New Roman" w:hAnsi="Times New Roman"/>
                    </w:rPr>
                    <m:t>k</m:t>
                  </m:r>
                  <m:ctrlPr>
                    <w:rPr>
                      <w:rFonts w:ascii="Cambria Math" w:hAnsi="Cambria Math"/>
                    </w:rPr>
                  </m:ctrlPr>
                </m:sub>
                <m:sup>
                  <m:r>
                    <m:rPr>
                      <m:sty m:val="p"/>
                    </m:rPr>
                    <w:rPr>
                      <w:rFonts w:hint="default" w:ascii="Times New Roman" w:hAnsi="Times New Roman"/>
                    </w:rPr>
                    <m:t>safe</m:t>
                  </m:r>
                  <m:ctrlPr>
                    <w:rPr>
                      <w:rFonts w:ascii="Cambria Math" w:hAnsi="Cambria Math"/>
                    </w:rPr>
                  </m:ctrlPr>
                </m:sup>
              </m:sSubSup>
            </m:oMath>
            <w:r>
              <w:t>表示当前训练窗口内的安全约束违反比例，</w:t>
            </w:r>
            <m:oMath>
              <m:sSub>
                <m:sSubPr>
                  <m:ctrlPr>
                    <w:rPr>
                      <w:rFonts w:hint="default" w:ascii="Cambria Math" w:hAnsi="Cambria Math"/>
                    </w:rPr>
                  </m:ctrlPr>
                </m:sSub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safe</m:t>
                  </m:r>
                  <m:ctrlPr>
                    <w:rPr>
                      <w:rFonts w:ascii="Cambria Math" w:hAnsi="Cambria Math"/>
                    </w:rPr>
                  </m:ctrlPr>
                </m:sub>
              </m:sSub>
            </m:oMath>
            <w:r>
              <w:t>表示安全违反阈值。当模型在当前难度下表现稳定且学习进度已充分时，进入更高难度训练；当系统安全性恶化或回报连续退化时，适当降低难度或保持当前难度，以避免训练崩溃；其余情况下则继续在当前难度等级下训练。</w:t>
            </w:r>
          </w:p>
          <w:p w14:paraId="5F385AE8">
            <w:pPr>
              <w:bidi w:val="0"/>
              <w:ind w:firstLine="480" w:firstLineChars="200"/>
            </w:pPr>
            <w:r>
              <w:t>基于上述设计，模型首先在较低难度环境中进行初始训练，随后系统周期性统计当前训练窗口内的平均奖励和</w:t>
            </w:r>
            <w:r>
              <w:rPr>
                <w:rFonts w:hint="default" w:ascii="Times New Roman" w:hAnsi="Times New Roman" w:cs="Times New Roman"/>
              </w:rPr>
              <w:t>value loss</w:t>
            </w:r>
            <w:r>
              <w:t>，并根据式（6-6）和式（6-7）决定是否升级、降级或保持当前难度。最终，当模型在目标难度场景下达到相对稳定表现后，再固定于目标环境中继续训练，以获得最终策略。</w:t>
            </w:r>
          </w:p>
          <w:p w14:paraId="4187CDBC">
            <w:pPr>
              <w:bidi w:val="0"/>
              <w:ind w:firstLine="480" w:firstLineChars="200"/>
              <w:rPr>
                <w:rFonts w:hint="eastAsia" w:ascii="宋体" w:eastAsia="宋体" w:cs="宋体"/>
              </w:rPr>
            </w:pPr>
            <w:r>
              <w:t>该机制的优势在于，它不是简单依赖回报大小决定课程推进，而是利用critic学习误差刻画学习进展，从而更适合当前强化学习训练过程中的动态调节。通过该方式，模型能够按照由易到难的方式逐步掌握任务卸载与缓存协同优化策略，从而降低训练初期难度过高带来的不稳定问题，并提升最终策略的收敛速度与泛化能力。</w:t>
            </w:r>
          </w:p>
        </w:tc>
      </w:tr>
      <w:tr w14:paraId="6D6DC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471" w:type="dxa"/>
            <w:vAlign w:val="center"/>
          </w:tcPr>
          <w:p w14:paraId="3A154508">
            <w:pPr>
              <w:jc w:val="center"/>
              <w:rPr>
                <w:rFonts w:hint="eastAsia" w:ascii="宋体" w:eastAsia="宋体"/>
              </w:rPr>
            </w:pPr>
          </w:p>
          <w:p w14:paraId="5D062037">
            <w:pPr>
              <w:jc w:val="center"/>
              <w:rPr>
                <w:rFonts w:hint="eastAsia" w:ascii="宋体" w:eastAsia="宋体"/>
              </w:rPr>
            </w:pPr>
          </w:p>
          <w:p w14:paraId="4F0ED5CA">
            <w:pPr>
              <w:jc w:val="center"/>
              <w:rPr>
                <w:rFonts w:hint="eastAsia" w:ascii="宋体" w:eastAsia="宋体"/>
              </w:rPr>
            </w:pPr>
          </w:p>
          <w:p w14:paraId="072C913C">
            <w:pPr>
              <w:jc w:val="center"/>
              <w:rPr>
                <w:rFonts w:hint="eastAsia" w:ascii="宋体" w:eastAsia="宋体"/>
              </w:rPr>
            </w:pPr>
          </w:p>
          <w:p w14:paraId="53CC5F05">
            <w:pPr>
              <w:jc w:val="center"/>
              <w:rPr>
                <w:rFonts w:hint="eastAsia" w:ascii="宋体" w:eastAsia="宋体"/>
              </w:rPr>
            </w:pPr>
          </w:p>
          <w:p w14:paraId="626633CE">
            <w:pPr>
              <w:jc w:val="center"/>
              <w:rPr>
                <w:rFonts w:hint="eastAsia" w:ascii="宋体" w:eastAsia="宋体"/>
              </w:rPr>
            </w:pPr>
          </w:p>
          <w:p w14:paraId="05DE62BF">
            <w:pPr>
              <w:jc w:val="center"/>
              <w:rPr>
                <w:rFonts w:hint="eastAsia" w:ascii="宋体" w:eastAsia="宋体"/>
              </w:rPr>
            </w:pPr>
            <w:r>
              <w:rPr>
                <w:rFonts w:hint="eastAsia" w:ascii="宋体" w:eastAsia="宋体"/>
              </w:rPr>
              <w:t>下一阶段</w:t>
            </w:r>
          </w:p>
          <w:p w14:paraId="3F7EE4FF">
            <w:pPr>
              <w:jc w:val="center"/>
              <w:rPr>
                <w:rFonts w:hint="eastAsia" w:ascii="宋体" w:eastAsia="宋体"/>
              </w:rPr>
            </w:pPr>
            <w:r>
              <w:rPr>
                <w:rFonts w:hint="eastAsia" w:ascii="宋体" w:eastAsia="宋体"/>
              </w:rPr>
              <w:t>工作计划</w:t>
            </w:r>
          </w:p>
        </w:tc>
        <w:tc>
          <w:tcPr>
            <w:tcW w:w="9705" w:type="dxa"/>
            <w:gridSpan w:val="5"/>
            <w:vAlign w:val="center"/>
          </w:tcPr>
          <w:p w14:paraId="0C0BB1F0">
            <w:pPr>
              <w:bidi w:val="0"/>
              <w:ind w:firstLine="480" w:firstLineChars="200"/>
            </w:pPr>
            <w:r>
              <w:rPr>
                <w:lang w:val="en-US" w:eastAsia="zh-CN"/>
              </w:rPr>
              <w:t>下一阶段以完善创新点、扩展实验验证和论文初稿撰写为核心任务，重点开展四方面工作。</w:t>
            </w:r>
          </w:p>
          <w:p w14:paraId="4F6D1AF8">
            <w:pPr>
              <w:bidi w:val="0"/>
              <w:ind w:firstLine="480" w:firstLineChars="200"/>
            </w:pPr>
            <w:r>
              <w:rPr>
                <w:rFonts w:hint="eastAsia"/>
                <w:lang w:val="en-US" w:eastAsia="zh-CN"/>
              </w:rPr>
              <w:t>1.</w:t>
            </w:r>
            <w:r>
              <w:t>完善安全约束与多目标冲突建模。在现有奖励函数基础上，拆分任务完成数、缓存命中数、能耗、队列拥塞、任务丢弃数等可分析多目标指标，明确能量约束、缓存容量约束、任务时延约束和</w:t>
            </w:r>
            <w:r>
              <w:rPr>
                <w:rFonts w:hint="default" w:ascii="Times New Roman" w:hAnsi="Times New Roman" w:cs="Times New Roman"/>
              </w:rPr>
              <w:t>OFDMA</w:t>
            </w:r>
            <w:r>
              <w:t>子信道约束的数学表达，设计约束违反惩罚或约束校正机制，避免能量耗尽、任务大规模超时和链路资源超限等问题，4月17日前完成。</w:t>
            </w:r>
          </w:p>
          <w:p w14:paraId="32BBE446">
            <w:pPr>
              <w:bidi w:val="0"/>
              <w:ind w:firstLine="480" w:firstLineChars="200"/>
            </w:pPr>
            <w:r>
              <w:rPr>
                <w:rFonts w:hint="eastAsia"/>
                <w:lang w:val="en-US" w:eastAsia="zh-CN"/>
              </w:rPr>
              <w:t>2.</w:t>
            </w:r>
            <w:r>
              <w:t>设计自适应课程难度训练机制。借鉴基于学习进展的课程强化学习思路，将网格规模、无人机数量、物联网设备数量、活跃设备数量、任务生成密度、缓存容量、卫星数量和</w:t>
            </w:r>
            <w:r>
              <w:rPr>
                <w:rFonts w:hint="default" w:ascii="Times New Roman" w:hAnsi="Times New Roman" w:cs="Times New Roman"/>
              </w:rPr>
              <w:t>OFDMA</w:t>
            </w:r>
            <w:r>
              <w:t>子信道数量等环境难度参数设为可调变量，训练初期采用简单场景提升策略可学习性，依据时间差分误差或优势函数变化判断学习进展，动态提升场景难度，最终适配目标空天地一体化网络场景，4月22日前完成。</w:t>
            </w:r>
          </w:p>
          <w:p w14:paraId="1AF4C2C2">
            <w:pPr>
              <w:bidi w:val="0"/>
              <w:ind w:firstLine="480" w:firstLineChars="200"/>
            </w:pPr>
            <w:r>
              <w:rPr>
                <w:rFonts w:hint="eastAsia"/>
                <w:lang w:val="en-US" w:eastAsia="zh-CN"/>
              </w:rPr>
              <w:t>3.</w:t>
            </w:r>
            <w:r>
              <w:t>扩展对比实验与消融实验。增设固定缓存策略、无缓存策略、无安全约束近端策略优化、无课程学习近端策略优化等基线方法，从任务完成率、平均时延、缓存命中率、任务丢弃率、能耗、队列长度和训练收敛速度等维度开展对比分析。通过消融实验验证联合缓存与卸载、安全约束校正、自适应课程训练三个模块对系统性能的贡献，4月27日前完成。</w:t>
            </w:r>
          </w:p>
          <w:p w14:paraId="44B8EA1B">
            <w:pPr>
              <w:bidi w:val="0"/>
              <w:ind w:firstLine="480" w:firstLineChars="200"/>
            </w:pPr>
            <w:r>
              <w:rPr>
                <w:rFonts w:hint="eastAsia"/>
                <w:lang w:val="en-US" w:eastAsia="zh-CN"/>
              </w:rPr>
              <w:t>4.</w:t>
            </w:r>
            <w:r>
              <w:t>完成论文初稿与图表整理。依据代码结构和实验结果绘制系统模型图、算法流程图、状态动作空间表、参数设置表和实验结果图，完成系统模型、问题建模、算法设计和实验分析章节的初稿撰写，并按照指导教师意见修改完善，5月5日前完成。</w:t>
            </w:r>
          </w:p>
          <w:p w14:paraId="488690CC">
            <w:pPr>
              <w:bidi w:val="0"/>
              <w:rPr>
                <w:rFonts w:hint="eastAsia"/>
                <w:lang w:eastAsia="zh-CN"/>
              </w:rPr>
            </w:pPr>
          </w:p>
        </w:tc>
      </w:tr>
      <w:tr w14:paraId="3E76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471" w:type="dxa"/>
            <w:vAlign w:val="center"/>
          </w:tcPr>
          <w:p w14:paraId="274E79C0">
            <w:pPr>
              <w:jc w:val="center"/>
              <w:rPr>
                <w:rFonts w:hint="eastAsia" w:ascii="宋体" w:eastAsia="宋体"/>
              </w:rPr>
            </w:pPr>
            <w:r>
              <w:rPr>
                <w:rFonts w:hint="eastAsia" w:ascii="宋体" w:eastAsia="宋体"/>
              </w:rPr>
              <w:t>存在问题</w:t>
            </w:r>
          </w:p>
        </w:tc>
        <w:tc>
          <w:tcPr>
            <w:tcW w:w="9705" w:type="dxa"/>
            <w:gridSpan w:val="5"/>
            <w:vAlign w:val="center"/>
          </w:tcPr>
          <w:p w14:paraId="08A18934">
            <w:pPr>
              <w:spacing w:line="360" w:lineRule="auto"/>
              <w:rPr>
                <w:rFonts w:hint="eastAsia" w:ascii="宋体" w:eastAsia="宋体" w:cs="宋体"/>
              </w:rPr>
            </w:pPr>
            <w:r>
              <w:rPr>
                <w:rFonts w:hint="eastAsia" w:ascii="宋体" w:eastAsia="宋体" w:cs="宋体"/>
              </w:rPr>
              <w:t>当前阶段虽然已经完成核心代码理解和初步训练结果分析，但仍存在以下问题。</w:t>
            </w:r>
          </w:p>
          <w:p w14:paraId="38194A30">
            <w:pPr>
              <w:spacing w:line="360" w:lineRule="auto"/>
              <w:ind w:firstLine="480" w:firstLineChars="200"/>
              <w:rPr>
                <w:rFonts w:hint="eastAsia" w:ascii="宋体" w:eastAsia="宋体" w:cs="宋体"/>
              </w:rPr>
            </w:pPr>
            <w:r>
              <w:rPr>
                <w:rFonts w:hint="eastAsia" w:ascii="宋体" w:eastAsia="宋体" w:cs="宋体"/>
              </w:rPr>
              <w:t>1. 当前</w:t>
            </w:r>
            <w:r>
              <w:rPr>
                <w:rFonts w:hint="default" w:ascii="Times New Roman" w:hAnsi="Times New Roman" w:eastAsia="宋体" w:cs="Times New Roman"/>
              </w:rPr>
              <w:t>PPO</w:t>
            </w:r>
            <w:r>
              <w:rPr>
                <w:rFonts w:hint="eastAsia" w:ascii="宋体" w:eastAsia="宋体" w:cs="宋体"/>
              </w:rPr>
              <w:t>动作粒度较粗，每个时隙输出的是全局卸载策略和全局缓存策略，尚未实现针对每个无人机或每个任务的细粒度联合决策。</w:t>
            </w:r>
          </w:p>
          <w:p w14:paraId="3D3FD30D">
            <w:pPr>
              <w:spacing w:line="360" w:lineRule="auto"/>
              <w:ind w:firstLine="480" w:firstLineChars="200"/>
              <w:rPr>
                <w:rFonts w:hint="eastAsia" w:ascii="宋体" w:eastAsia="宋体" w:cs="宋体"/>
              </w:rPr>
            </w:pPr>
            <w:r>
              <w:rPr>
                <w:rFonts w:hint="eastAsia" w:ascii="宋体" w:eastAsia="宋体" w:cs="宋体"/>
              </w:rPr>
              <w:t>2. 现有卫星覆盖模型较为简化，代码中近似采用全覆盖假设，卫星与无人机连接主要由</w:t>
            </w:r>
            <w:r>
              <w:rPr>
                <w:rFonts w:hint="default" w:ascii="Times New Roman" w:hAnsi="Times New Roman" w:eastAsia="宋体" w:cs="Times New Roman"/>
              </w:rPr>
              <w:t>OFDMA</w:t>
            </w:r>
            <w:r>
              <w:rPr>
                <w:rFonts w:hint="eastAsia" w:ascii="宋体" w:eastAsia="宋体" w:cs="宋体"/>
              </w:rPr>
              <w:t>子信道分配决定，尚未充分体现低轨卫星移动导致的动态可见性变化。</w:t>
            </w:r>
          </w:p>
          <w:p w14:paraId="54907BBA">
            <w:pPr>
              <w:spacing w:line="360" w:lineRule="auto"/>
              <w:ind w:firstLine="480" w:firstLineChars="200"/>
              <w:rPr>
                <w:rFonts w:hint="eastAsia" w:ascii="宋体" w:eastAsia="宋体" w:cs="宋体"/>
              </w:rPr>
            </w:pPr>
            <w:r>
              <w:rPr>
                <w:rFonts w:hint="eastAsia" w:ascii="宋体" w:eastAsia="宋体" w:cs="宋体"/>
              </w:rPr>
              <w:t>3. 目前奖励函数仍以标量加权形式为主，虽然包含任务完成、缓存命中、能耗和队列等因素，但尚未将安全约束和多目标冲突显式分离，后续需要进一步完善理论建模。</w:t>
            </w:r>
          </w:p>
          <w:p w14:paraId="45E77EE3">
            <w:pPr>
              <w:spacing w:line="360" w:lineRule="auto"/>
              <w:ind w:firstLine="480" w:firstLineChars="200"/>
              <w:rPr>
                <w:rFonts w:hint="eastAsia" w:ascii="宋体" w:eastAsia="宋体" w:cs="宋体"/>
              </w:rPr>
            </w:pPr>
            <w:r>
              <w:rPr>
                <w:rFonts w:hint="eastAsia" w:ascii="宋体" w:eastAsia="宋体" w:cs="宋体"/>
              </w:rPr>
              <w:t>4. 现有实验规模较小，训练轮数、随机种子和对比基线仍不充分，暂时只能说明代码具有可学习性，还不足以支撑最终论文中的充分性能结论。</w:t>
            </w:r>
          </w:p>
          <w:p w14:paraId="5CFBAF04">
            <w:pPr>
              <w:spacing w:line="360" w:lineRule="auto"/>
              <w:ind w:firstLine="480" w:firstLineChars="200"/>
              <w:rPr>
                <w:rFonts w:hint="eastAsia" w:ascii="宋体" w:eastAsia="宋体" w:cs="宋体"/>
              </w:rPr>
            </w:pPr>
            <w:r>
              <w:rPr>
                <w:rFonts w:hint="eastAsia" w:ascii="宋体" w:eastAsia="宋体" w:cs="宋体"/>
              </w:rPr>
              <w:t>5. 自适应课程训练机制目前处于设计阶段，尚未完成代码实现，需要在不破坏原有环境封装的基础上增加难度调度模块和学习进展度量模块。</w:t>
            </w:r>
          </w:p>
        </w:tc>
      </w:tr>
      <w:tr w14:paraId="7D79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471" w:type="dxa"/>
            <w:vAlign w:val="center"/>
          </w:tcPr>
          <w:p w14:paraId="553D4A7B">
            <w:pPr>
              <w:jc w:val="center"/>
              <w:rPr>
                <w:rFonts w:hint="eastAsia" w:ascii="宋体" w:eastAsia="宋体"/>
              </w:rPr>
            </w:pPr>
            <w:r>
              <w:rPr>
                <w:rFonts w:hint="eastAsia" w:ascii="宋体" w:eastAsia="宋体"/>
              </w:rPr>
              <w:t>其  它</w:t>
            </w:r>
          </w:p>
        </w:tc>
        <w:tc>
          <w:tcPr>
            <w:tcW w:w="9705" w:type="dxa"/>
            <w:gridSpan w:val="5"/>
            <w:vAlign w:val="center"/>
          </w:tcPr>
          <w:p w14:paraId="2B5F2E1F">
            <w:pPr>
              <w:jc w:val="center"/>
              <w:rPr>
                <w:rFonts w:hint="eastAsia" w:ascii="宋体" w:eastAsia="宋体"/>
              </w:rPr>
            </w:pPr>
            <w:r>
              <w:rPr>
                <w:rFonts w:hint="eastAsia" w:ascii="宋体" w:eastAsia="宋体"/>
              </w:rPr>
              <w:t>无。</w:t>
            </w:r>
          </w:p>
        </w:tc>
      </w:tr>
      <w:tr w14:paraId="350D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atLeast"/>
        </w:trPr>
        <w:tc>
          <w:tcPr>
            <w:tcW w:w="471" w:type="dxa"/>
            <w:vAlign w:val="center"/>
          </w:tcPr>
          <w:p w14:paraId="2B1FB8D7">
            <w:pPr>
              <w:jc w:val="center"/>
              <w:rPr>
                <w:rFonts w:hint="eastAsia" w:ascii="宋体" w:eastAsia="宋体"/>
              </w:rPr>
            </w:pPr>
            <w:r>
              <w:rPr>
                <w:rFonts w:hint="eastAsia" w:ascii="宋体" w:eastAsia="宋体"/>
              </w:rPr>
              <w:t>指导教师意见</w:t>
            </w:r>
          </w:p>
        </w:tc>
        <w:tc>
          <w:tcPr>
            <w:tcW w:w="9705" w:type="dxa"/>
            <w:gridSpan w:val="5"/>
            <w:vAlign w:val="center"/>
          </w:tcPr>
          <w:p w14:paraId="55A65875">
            <w:pPr>
              <w:jc w:val="left"/>
            </w:pPr>
            <w:r>
              <w:rPr>
                <w:rFonts w:hint="eastAsia" w:ascii="宋体" w:hAnsi="宋体" w:cs="宋体"/>
                <w:sz w:val="24"/>
                <w:szCs w:val="24"/>
                <w:lang w:val="en-US" w:eastAsia="zh-CN"/>
              </w:rPr>
              <w:t xml:space="preserve">  </w:t>
            </w:r>
            <w:r>
              <w:rPr>
                <w:rFonts w:ascii="宋体" w:hAnsi="宋体" w:eastAsia="宋体" w:cs="宋体"/>
                <w:sz w:val="24"/>
                <w:szCs w:val="24"/>
              </w:rPr>
              <w:t>该生能够按照毕业设计任务书要求完成中期研究工作，文献调研较为全面，对空天地一体化网络、任务卸载、缓存优化及强化学习相关理论掌握扎实。研究内容明确、技术路线合理，已完成系统模型构建、PPO 基线算法实现与阶段性实验验证，工作量充足，具备良好的科研能力与自主学习能力。研究过程中能够发现现有模型存在的问题，并提出针对性改进方案</w:t>
            </w:r>
            <w:r>
              <w:rPr>
                <w:rFonts w:hint="eastAsia" w:ascii="宋体" w:hAnsi="宋体" w:cs="宋体"/>
                <w:sz w:val="24"/>
                <w:szCs w:val="24"/>
                <w:lang w:val="en-US" w:eastAsia="zh-CN"/>
              </w:rPr>
              <w:t>,</w:t>
            </w:r>
            <w:r>
              <w:rPr>
                <w:rFonts w:ascii="宋体" w:hAnsi="宋体" w:eastAsia="宋体" w:cs="宋体"/>
                <w:sz w:val="24"/>
                <w:szCs w:val="24"/>
              </w:rPr>
              <w:t>整体研究进展符合预期。</w:t>
            </w:r>
          </w:p>
          <w:p w14:paraId="57B1F0E9">
            <w:pPr>
              <w:spacing w:line="360" w:lineRule="auto"/>
              <w:jc w:val="center"/>
              <w:rPr>
                <w:rFonts w:hint="eastAsia" w:ascii="宋体" w:eastAsia="宋体"/>
                <w:lang w:eastAsia="zh-CN"/>
              </w:rPr>
            </w:pPr>
            <w:r>
              <w:rPr>
                <w:rFonts w:hint="eastAsia" w:ascii="宋体"/>
                <w:lang w:val="en-US" w:eastAsia="zh-CN"/>
              </w:rPr>
              <w:t xml:space="preserve">             </w:t>
            </w:r>
            <w:r>
              <w:rPr>
                <w:rFonts w:hint="eastAsia" w:ascii="宋体" w:eastAsia="宋体"/>
              </w:rPr>
              <w:t>指导教师签名：</w:t>
            </w:r>
            <w:r>
              <w:rPr>
                <w:rFonts w:hint="eastAsia" w:ascii="宋体" w:eastAsia="宋体"/>
                <w:lang w:eastAsia="zh-CN"/>
              </w:rPr>
              <w:drawing>
                <wp:inline distT="0" distB="0" distL="114300" distR="114300">
                  <wp:extent cx="596900" cy="337185"/>
                  <wp:effectExtent l="0" t="0" r="12700" b="13335"/>
                  <wp:docPr id="4" name="图片 9" descr="09efc19dddb7320f5568b37704e22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09efc19dddb7320f5568b37704e22a78"/>
                          <pic:cNvPicPr>
                            <a:picLocks noChangeAspect="1"/>
                          </pic:cNvPicPr>
                        </pic:nvPicPr>
                        <pic:blipFill>
                          <a:blip r:embed="rId8"/>
                          <a:stretch>
                            <a:fillRect/>
                          </a:stretch>
                        </pic:blipFill>
                        <pic:spPr>
                          <a:xfrm>
                            <a:off x="0" y="0"/>
                            <a:ext cx="596900" cy="337185"/>
                          </a:xfrm>
                          <a:prstGeom prst="rect">
                            <a:avLst/>
                          </a:prstGeom>
                          <a:noFill/>
                          <a:ln>
                            <a:noFill/>
                          </a:ln>
                        </pic:spPr>
                      </pic:pic>
                    </a:graphicData>
                  </a:graphic>
                </wp:inline>
              </w:drawing>
            </w:r>
          </w:p>
          <w:p w14:paraId="746E8707">
            <w:pPr>
              <w:jc w:val="center"/>
              <w:rPr>
                <w:rFonts w:hint="eastAsia" w:ascii="宋体" w:eastAsia="宋体"/>
              </w:rPr>
            </w:pPr>
            <w:r>
              <w:rPr>
                <w:rFonts w:hint="eastAsia" w:ascii="宋体" w:eastAsia="宋体"/>
              </w:rPr>
              <w:t xml:space="preserve">                                 </w:t>
            </w:r>
            <w:r>
              <w:rPr>
                <w:rFonts w:hint="eastAsia" w:ascii="宋体" w:eastAsia="宋体"/>
                <w:lang w:val="en-US" w:eastAsia="zh-CN"/>
              </w:rPr>
              <w:t>2026</w:t>
            </w:r>
            <w:r>
              <w:rPr>
                <w:rFonts w:hint="eastAsia" w:ascii="宋体" w:eastAsia="宋体"/>
              </w:rPr>
              <w:t xml:space="preserve">年    </w:t>
            </w:r>
            <w:r>
              <w:rPr>
                <w:rFonts w:hint="eastAsia" w:ascii="宋体" w:eastAsia="宋体"/>
                <w:lang w:val="en-US" w:eastAsia="zh-CN"/>
              </w:rPr>
              <w:t>4</w:t>
            </w:r>
            <w:r>
              <w:rPr>
                <w:rFonts w:hint="eastAsia" w:ascii="宋体" w:eastAsia="宋体"/>
              </w:rPr>
              <w:t xml:space="preserve">月    </w:t>
            </w:r>
            <w:r>
              <w:rPr>
                <w:rFonts w:hint="eastAsia" w:ascii="宋体" w:eastAsia="宋体"/>
                <w:lang w:val="en-US" w:eastAsia="zh-CN"/>
              </w:rPr>
              <w:t>11</w:t>
            </w:r>
            <w:r>
              <w:rPr>
                <w:rFonts w:hint="eastAsia" w:ascii="宋体" w:eastAsia="宋体"/>
              </w:rPr>
              <w:t>日</w:t>
            </w:r>
          </w:p>
        </w:tc>
      </w:tr>
      <w:tr w14:paraId="196F4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471" w:type="dxa"/>
            <w:vAlign w:val="center"/>
          </w:tcPr>
          <w:p w14:paraId="5637B075">
            <w:pPr>
              <w:jc w:val="center"/>
              <w:rPr>
                <w:rFonts w:hint="eastAsia" w:ascii="宋体" w:eastAsia="宋体"/>
              </w:rPr>
            </w:pPr>
          </w:p>
        </w:tc>
        <w:tc>
          <w:tcPr>
            <w:tcW w:w="9705" w:type="dxa"/>
            <w:gridSpan w:val="5"/>
            <w:vAlign w:val="center"/>
          </w:tcPr>
          <w:p w14:paraId="317966F3">
            <w:pPr>
              <w:jc w:val="center"/>
              <w:rPr>
                <w:rFonts w:hint="eastAsia" w:ascii="宋体" w:eastAsia="宋体"/>
              </w:rPr>
            </w:pPr>
          </w:p>
        </w:tc>
      </w:tr>
      <w:tr w14:paraId="2A49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471" w:type="dxa"/>
            <w:vAlign w:val="center"/>
          </w:tcPr>
          <w:p w14:paraId="5D2CEBE6">
            <w:pPr>
              <w:jc w:val="center"/>
              <w:rPr>
                <w:rFonts w:hint="eastAsia" w:ascii="宋体" w:eastAsia="宋体"/>
              </w:rPr>
            </w:pPr>
          </w:p>
        </w:tc>
        <w:tc>
          <w:tcPr>
            <w:tcW w:w="9705" w:type="dxa"/>
            <w:gridSpan w:val="5"/>
            <w:vAlign w:val="center"/>
          </w:tcPr>
          <w:p w14:paraId="1F62BF15">
            <w:pPr>
              <w:jc w:val="center"/>
              <w:rPr>
                <w:rFonts w:hint="eastAsia" w:ascii="宋体" w:eastAsia="宋体"/>
              </w:rPr>
            </w:pPr>
          </w:p>
        </w:tc>
      </w:tr>
    </w:tbl>
    <w:p w14:paraId="654C85DA">
      <w:pPr>
        <w:jc w:val="left"/>
        <w:rPr>
          <w:rFonts w:hint="eastAsia" w:ascii="宋体" w:eastAsia="宋体"/>
          <w:color w:val="FF6600"/>
        </w:rPr>
      </w:pPr>
    </w:p>
    <w:sectPr>
      <w:pgSz w:w="11906" w:h="16838"/>
      <w:pgMar w:top="1418" w:right="1418" w:bottom="1418" w:left="1418" w:header="851" w:footer="992"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宋体"/>
    <w:panose1 w:val="00000000000000000000"/>
    <w:charset w:val="86"/>
    <w:family w:val="auto"/>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1NDcyNWQ5NmIwMDQwMzliZWZiMzBiZmZmYjhmMGYifQ=="/>
  </w:docVars>
  <w:rsids>
    <w:rsidRoot w:val="003F20B3"/>
    <w:rsid w:val="000069D6"/>
    <w:rsid w:val="00035AF8"/>
    <w:rsid w:val="0004224D"/>
    <w:rsid w:val="00050587"/>
    <w:rsid w:val="0005088C"/>
    <w:rsid w:val="00051712"/>
    <w:rsid w:val="00062F86"/>
    <w:rsid w:val="00083B21"/>
    <w:rsid w:val="00087893"/>
    <w:rsid w:val="000C29F6"/>
    <w:rsid w:val="00107F16"/>
    <w:rsid w:val="00117508"/>
    <w:rsid w:val="00137AA3"/>
    <w:rsid w:val="001636FF"/>
    <w:rsid w:val="001901F4"/>
    <w:rsid w:val="0019331B"/>
    <w:rsid w:val="001B023C"/>
    <w:rsid w:val="001C023F"/>
    <w:rsid w:val="001E1CEA"/>
    <w:rsid w:val="001E4B17"/>
    <w:rsid w:val="001E6CC3"/>
    <w:rsid w:val="001F72A6"/>
    <w:rsid w:val="00201F77"/>
    <w:rsid w:val="002108F7"/>
    <w:rsid w:val="00250552"/>
    <w:rsid w:val="002E0D3D"/>
    <w:rsid w:val="002E4A7E"/>
    <w:rsid w:val="002E6591"/>
    <w:rsid w:val="002F0E9C"/>
    <w:rsid w:val="002F3CBE"/>
    <w:rsid w:val="00323140"/>
    <w:rsid w:val="00385C5D"/>
    <w:rsid w:val="003C36A4"/>
    <w:rsid w:val="003D0A02"/>
    <w:rsid w:val="003D3BE8"/>
    <w:rsid w:val="003F20B3"/>
    <w:rsid w:val="00400602"/>
    <w:rsid w:val="0044060F"/>
    <w:rsid w:val="00456BC7"/>
    <w:rsid w:val="004574E5"/>
    <w:rsid w:val="004C0210"/>
    <w:rsid w:val="004D62F2"/>
    <w:rsid w:val="00500E5C"/>
    <w:rsid w:val="00504BB4"/>
    <w:rsid w:val="005117BC"/>
    <w:rsid w:val="00530552"/>
    <w:rsid w:val="00542EC7"/>
    <w:rsid w:val="0056081E"/>
    <w:rsid w:val="00592E25"/>
    <w:rsid w:val="005B1CDF"/>
    <w:rsid w:val="005B20E2"/>
    <w:rsid w:val="00602B37"/>
    <w:rsid w:val="006175D1"/>
    <w:rsid w:val="006200D6"/>
    <w:rsid w:val="00626368"/>
    <w:rsid w:val="0063016C"/>
    <w:rsid w:val="006339EC"/>
    <w:rsid w:val="00653D1C"/>
    <w:rsid w:val="00656D50"/>
    <w:rsid w:val="006662C1"/>
    <w:rsid w:val="00677AF0"/>
    <w:rsid w:val="006960A2"/>
    <w:rsid w:val="006A46E3"/>
    <w:rsid w:val="006E3EDA"/>
    <w:rsid w:val="006E54EB"/>
    <w:rsid w:val="0072563D"/>
    <w:rsid w:val="0074576F"/>
    <w:rsid w:val="0076003C"/>
    <w:rsid w:val="00765142"/>
    <w:rsid w:val="00795BF4"/>
    <w:rsid w:val="007A7B3D"/>
    <w:rsid w:val="007D3130"/>
    <w:rsid w:val="007E23EB"/>
    <w:rsid w:val="007F068F"/>
    <w:rsid w:val="007F11E9"/>
    <w:rsid w:val="00806AE0"/>
    <w:rsid w:val="008229E3"/>
    <w:rsid w:val="0083060B"/>
    <w:rsid w:val="008C4183"/>
    <w:rsid w:val="008C75CB"/>
    <w:rsid w:val="008F0944"/>
    <w:rsid w:val="008F1791"/>
    <w:rsid w:val="00911496"/>
    <w:rsid w:val="00914817"/>
    <w:rsid w:val="00956441"/>
    <w:rsid w:val="00957296"/>
    <w:rsid w:val="009610F6"/>
    <w:rsid w:val="00962C7D"/>
    <w:rsid w:val="0098439A"/>
    <w:rsid w:val="009B50BF"/>
    <w:rsid w:val="009C26C8"/>
    <w:rsid w:val="009F3BDD"/>
    <w:rsid w:val="00A65365"/>
    <w:rsid w:val="00A777AD"/>
    <w:rsid w:val="00AA03D1"/>
    <w:rsid w:val="00AC007F"/>
    <w:rsid w:val="00AD762D"/>
    <w:rsid w:val="00B130D4"/>
    <w:rsid w:val="00B248A9"/>
    <w:rsid w:val="00B4335B"/>
    <w:rsid w:val="00B74153"/>
    <w:rsid w:val="00B849E0"/>
    <w:rsid w:val="00B92852"/>
    <w:rsid w:val="00BC63B4"/>
    <w:rsid w:val="00BE1545"/>
    <w:rsid w:val="00C01C2D"/>
    <w:rsid w:val="00C1057E"/>
    <w:rsid w:val="00C3184F"/>
    <w:rsid w:val="00C379A6"/>
    <w:rsid w:val="00C43025"/>
    <w:rsid w:val="00C67C1B"/>
    <w:rsid w:val="00C759C2"/>
    <w:rsid w:val="00C96582"/>
    <w:rsid w:val="00CC5271"/>
    <w:rsid w:val="00CD7F41"/>
    <w:rsid w:val="00CE063F"/>
    <w:rsid w:val="00D44237"/>
    <w:rsid w:val="00D544D3"/>
    <w:rsid w:val="00D669C4"/>
    <w:rsid w:val="00D84677"/>
    <w:rsid w:val="00D9057D"/>
    <w:rsid w:val="00DB4A5C"/>
    <w:rsid w:val="00DB5570"/>
    <w:rsid w:val="00DE0ECB"/>
    <w:rsid w:val="00DF4DBD"/>
    <w:rsid w:val="00E24447"/>
    <w:rsid w:val="00E47853"/>
    <w:rsid w:val="00E64298"/>
    <w:rsid w:val="00E83901"/>
    <w:rsid w:val="00E93C8A"/>
    <w:rsid w:val="00EB1493"/>
    <w:rsid w:val="00EE3A3E"/>
    <w:rsid w:val="00EE4DA5"/>
    <w:rsid w:val="00F27DD5"/>
    <w:rsid w:val="00F63697"/>
    <w:rsid w:val="00F718BD"/>
    <w:rsid w:val="00F73F96"/>
    <w:rsid w:val="00F91877"/>
    <w:rsid w:val="00F923C0"/>
    <w:rsid w:val="00FB0102"/>
    <w:rsid w:val="00FC387A"/>
    <w:rsid w:val="00FE3B21"/>
    <w:rsid w:val="00FF1A6D"/>
    <w:rsid w:val="0183453D"/>
    <w:rsid w:val="0415210F"/>
    <w:rsid w:val="05BA4024"/>
    <w:rsid w:val="0600117A"/>
    <w:rsid w:val="062912E5"/>
    <w:rsid w:val="065D5AAB"/>
    <w:rsid w:val="077D0A4B"/>
    <w:rsid w:val="07AF1BE8"/>
    <w:rsid w:val="087C1225"/>
    <w:rsid w:val="09774FEF"/>
    <w:rsid w:val="0B196948"/>
    <w:rsid w:val="0B98570C"/>
    <w:rsid w:val="0D3D37F2"/>
    <w:rsid w:val="0D4B4FAB"/>
    <w:rsid w:val="0EE24651"/>
    <w:rsid w:val="0F907D05"/>
    <w:rsid w:val="10E32902"/>
    <w:rsid w:val="115F2763"/>
    <w:rsid w:val="14504A09"/>
    <w:rsid w:val="15E458B3"/>
    <w:rsid w:val="176359F5"/>
    <w:rsid w:val="1789621C"/>
    <w:rsid w:val="181B0A24"/>
    <w:rsid w:val="1A475CB0"/>
    <w:rsid w:val="1B287EFE"/>
    <w:rsid w:val="1BD25A4D"/>
    <w:rsid w:val="1D3D339A"/>
    <w:rsid w:val="1E4773EE"/>
    <w:rsid w:val="1EB67D26"/>
    <w:rsid w:val="1F414FB2"/>
    <w:rsid w:val="1FA747C6"/>
    <w:rsid w:val="1FC622CD"/>
    <w:rsid w:val="20713F99"/>
    <w:rsid w:val="20CA13E8"/>
    <w:rsid w:val="226E0871"/>
    <w:rsid w:val="23865A00"/>
    <w:rsid w:val="23931F66"/>
    <w:rsid w:val="23E142FA"/>
    <w:rsid w:val="25115838"/>
    <w:rsid w:val="26534A4B"/>
    <w:rsid w:val="2A1B0E9D"/>
    <w:rsid w:val="2DC95CA7"/>
    <w:rsid w:val="2E991E5B"/>
    <w:rsid w:val="322C5BA5"/>
    <w:rsid w:val="340D26DB"/>
    <w:rsid w:val="34332FBC"/>
    <w:rsid w:val="355F7EFA"/>
    <w:rsid w:val="357724FF"/>
    <w:rsid w:val="36581519"/>
    <w:rsid w:val="38F60B75"/>
    <w:rsid w:val="39273424"/>
    <w:rsid w:val="39E906DA"/>
    <w:rsid w:val="3ACE7FFB"/>
    <w:rsid w:val="3B64270E"/>
    <w:rsid w:val="3E014244"/>
    <w:rsid w:val="3E271B73"/>
    <w:rsid w:val="40714A07"/>
    <w:rsid w:val="40A31410"/>
    <w:rsid w:val="440C52D9"/>
    <w:rsid w:val="45801B6B"/>
    <w:rsid w:val="464363B8"/>
    <w:rsid w:val="466604D1"/>
    <w:rsid w:val="471A0124"/>
    <w:rsid w:val="472745EF"/>
    <w:rsid w:val="482000ED"/>
    <w:rsid w:val="484274DF"/>
    <w:rsid w:val="49D22F38"/>
    <w:rsid w:val="4D007B7E"/>
    <w:rsid w:val="4D0F600E"/>
    <w:rsid w:val="4F6F4D85"/>
    <w:rsid w:val="5107293F"/>
    <w:rsid w:val="513C6B33"/>
    <w:rsid w:val="52E2428C"/>
    <w:rsid w:val="52F9212F"/>
    <w:rsid w:val="54511BC0"/>
    <w:rsid w:val="54C735ED"/>
    <w:rsid w:val="563E31AC"/>
    <w:rsid w:val="5857771D"/>
    <w:rsid w:val="59FD190B"/>
    <w:rsid w:val="5A2E0476"/>
    <w:rsid w:val="5C7B120D"/>
    <w:rsid w:val="5CD13A37"/>
    <w:rsid w:val="5D5201C0"/>
    <w:rsid w:val="5EBF3633"/>
    <w:rsid w:val="5FB446FD"/>
    <w:rsid w:val="60BF4C1A"/>
    <w:rsid w:val="613F6527"/>
    <w:rsid w:val="62264FF1"/>
    <w:rsid w:val="634B514E"/>
    <w:rsid w:val="635A392B"/>
    <w:rsid w:val="6477675E"/>
    <w:rsid w:val="667E755C"/>
    <w:rsid w:val="671170A8"/>
    <w:rsid w:val="680A2A27"/>
    <w:rsid w:val="68841740"/>
    <w:rsid w:val="6942733B"/>
    <w:rsid w:val="6BEC4054"/>
    <w:rsid w:val="6CCE28A2"/>
    <w:rsid w:val="70572473"/>
    <w:rsid w:val="70B40C75"/>
    <w:rsid w:val="70C71D41"/>
    <w:rsid w:val="72556C83"/>
    <w:rsid w:val="776C195E"/>
    <w:rsid w:val="77CC3308"/>
    <w:rsid w:val="78C65C3A"/>
    <w:rsid w:val="796F0529"/>
    <w:rsid w:val="79E47F9A"/>
    <w:rsid w:val="7A993264"/>
    <w:rsid w:val="7BA33C1A"/>
    <w:rsid w:val="7E744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仿宋_GB2312" w:hAnsi="仿宋_GB2312" w:eastAsia="宋体" w:cs="Times New Roman"/>
      <w:bCs/>
      <w:kern w:val="11"/>
      <w:sz w:val="24"/>
      <w:szCs w:val="24"/>
      <w:lang w:val="en-US" w:eastAsia="zh-CN" w:bidi="ar-SA"/>
    </w:rPr>
  </w:style>
  <w:style w:type="paragraph" w:styleId="2">
    <w:name w:val="heading 2"/>
    <w:basedOn w:val="1"/>
    <w:next w:val="1"/>
    <w:unhideWhenUsed/>
    <w:qFormat/>
    <w:uiPriority w:val="0"/>
    <w:pPr>
      <w:spacing w:before="100" w:beforeAutospacing="1" w:after="100" w:afterAutospacing="1"/>
      <w:jc w:val="left"/>
      <w:outlineLvl w:val="1"/>
    </w:pPr>
    <w:rPr>
      <w:rFonts w:hint="eastAsia" w:ascii="宋体" w:eastAsia="宋体"/>
      <w:b/>
      <w:kern w:val="0"/>
      <w:sz w:val="36"/>
      <w:szCs w:val="36"/>
    </w:rPr>
  </w:style>
  <w:style w:type="paragraph" w:styleId="3">
    <w:name w:val="heading 3"/>
    <w:basedOn w:val="1"/>
    <w:next w:val="1"/>
    <w:unhideWhenUsed/>
    <w:qFormat/>
    <w:uiPriority w:val="0"/>
    <w:pPr>
      <w:spacing w:before="100" w:beforeAutospacing="1" w:after="100" w:afterAutospacing="1"/>
      <w:jc w:val="left"/>
      <w:outlineLvl w:val="2"/>
    </w:pPr>
    <w:rPr>
      <w:rFonts w:hint="eastAsia" w:ascii="宋体" w:eastAsia="宋体"/>
      <w:b/>
      <w:kern w:val="0"/>
      <w:sz w:val="27"/>
      <w:szCs w:val="27"/>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semiHidden/>
    <w:qFormat/>
    <w:uiPriority w:val="0"/>
    <w:rPr>
      <w:sz w:val="18"/>
      <w:szCs w:val="18"/>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jc w:val="left"/>
    </w:pPr>
    <w:rPr>
      <w:kern w:val="0"/>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customStyle="1" w:styleId="13">
    <w:name w:val="页脚 字符"/>
    <w:link w:val="5"/>
    <w:qFormat/>
    <w:uiPriority w:val="0"/>
    <w:rPr>
      <w:rFonts w:ascii="仿宋_GB2312" w:hAnsi="宋体" w:eastAsia="仿宋_GB2312"/>
      <w:bCs/>
      <w:kern w:val="11"/>
      <w:sz w:val="18"/>
      <w:szCs w:val="18"/>
    </w:rPr>
  </w:style>
  <w:style w:type="character" w:customStyle="1" w:styleId="14">
    <w:name w:val="页眉 字符"/>
    <w:link w:val="6"/>
    <w:qFormat/>
    <w:uiPriority w:val="0"/>
    <w:rPr>
      <w:rFonts w:ascii="仿宋_GB2312" w:hAnsi="宋体" w:eastAsia="仿宋_GB2312"/>
      <w:bCs/>
      <w:kern w:val="11"/>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JXB</Company>
  <Pages>8</Pages>
  <Words>5855</Words>
  <Characters>6300</Characters>
  <Lines>23</Lines>
  <Paragraphs>6</Paragraphs>
  <TotalTime>47</TotalTime>
  <ScaleCrop>false</ScaleCrop>
  <LinksUpToDate>false</LinksUpToDate>
  <CharactersWithSpaces>6684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2026-04-13T02:45:00Z</dcterms:created>
  <dc:creator>founder</dc:creator>
  <cp:lastModifiedBy>。</cp:lastModifiedBy>
  <cp:lastPrinted>2004-02-20T03:08:00Z</cp:lastPrinted>
  <dcterms:modified xsi:type="dcterms:W3CDTF">2026-04-13T12:57:59Z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C82BE78BEF1D44BE95C47DA9787955E2_13</vt:lpwstr>
  </property>
  <property fmtid="{D5CDD505-2E9C-101B-9397-08002B2CF9AE}" pid="4" name="KSOTemplateDocerSaveRecord">
    <vt:lpwstr>eyJoZGlkIjoiOGQzNmU1N2MzNGI0M2U1YjZhMzIyMjM2NDM5NmEzZGUiLCJ1c2VySWQiOiIzMjg0MjkxMjMifQ==</vt:lpwstr>
  </property>
</Properties>
</file>