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6F6F3">
      <w:pPr>
        <w:pStyle w:val="2"/>
      </w:pPr>
      <w:r>
        <w:t>基于时间感知GRU-Attention-TD3的电磁式吸振器振动控制研究</w:t>
      </w:r>
    </w:p>
    <w:p w14:paraId="74FBE036">
      <w:pPr>
        <w:pStyle w:val="3"/>
      </w:pPr>
      <w:bookmarkStart w:id="0" w:name="灵犀_f6hd4gx04z1czxuz"/>
      <w:r>
        <w:t>摘要</w:t>
      </w:r>
    </w:p>
    <w:p w14:paraId="42455CDA">
      <w:r>
        <w:t>电磁式吸振器在工程结构振动控制中面临时滞效应与采样不确定性的双重挑战，传统控制方法难以在动态环境中保持稳定性能。本文提出一种时间感知GRU-Attention-TD3算法，通过集成门控循环单元（GRU）与注意力机制构建时序特征提取模块，设计包含时滞补偿项与采样间隔信息的时间感知状态向量，实现对系统动态特性的精准建模。仿真实验表明，该算法在固定时滞（1-3步）与随机时滞环境下，主结构位移峰值较PID控制降低28.3%-41.7%，均方根值较标准TD3算法优化19.6%-32.5%，且训练收敛速度提升23.1%。研究为复杂时变环境下的振动控制提供了新的解决方案，具有重要的工程应用价值。</w:t>
      </w:r>
    </w:p>
    <w:bookmarkEnd w:id="0"/>
    <w:p w14:paraId="178433AF">
      <w:pPr>
        <w:pStyle w:val="3"/>
      </w:pPr>
      <w:bookmarkStart w:id="1" w:name="灵犀_m0uja86d8f9xrq68"/>
      <w:r>
        <w:t>引言</w:t>
      </w:r>
    </w:p>
    <w:p w14:paraId="48BF4980">
      <w:r>
        <w:t>工程结构在服役过程中持续承受动态载荷作用，由此引发的振动问题不仅影响设备运行精度与使用寿命，更可能导致结构疲劳损伤甚至突发性失效。电磁式吸振器凭借响应速度快、出力密度高、无接触磨损等特性，在高层建筑抗风振、精密机床减振、轨道交通设备降噪等领域展现出显著应用潜力。其核心原理是通过电磁作动器输出可控电磁力，实时抵消主结构的振动能量，从而实现宽频带、自适应的振动抑制效果。</w:t>
      </w:r>
    </w:p>
    <w:p w14:paraId="7C851F18">
      <w:r>
        <w:t>传统振动控制方法中，PID控制器因结构简单、鲁棒性强而被广泛采用，但其参数整定依赖经验试凑，难以应对时变工况；基于模型的自适应控制虽能一定程度补偿参数漂移，却受限于精确数学模型的获取难度。在实际工程场景中，传感器信号传输延迟、控制器计算耗时、作动器动态响应滞后等时滞因素普遍存在，同时采样间隔受硬件性能波动影响呈现不确定性，二者叠加导致控制指令与实际振动状态产生相位偏差，严重时甚至引发系统失稳。</w:t>
      </w:r>
    </w:p>
    <w:p w14:paraId="511519C7">
      <w:r>
        <w:t>深度强化学习（DRL）技术通过智能体与环境的动态交互实现策略优化，无需依赖精确数学模型即可逼近最优控制律，为复杂非线性系统控制提供了新思路。近年来，DQN、PPO、TD3等算法已在柔性机械臂轨迹跟踪、桥梁振动抑制等领域取得突破，但其核心优势集中于空间特征的静态映射，对时间维度的动态变化适应性不足。现有DRL算法多采用固定时间步长假设，将时序数据简化为离散状态快照，忽略了时滞效应与采样波动对状态迁移的累积影响，导致在时变振动环境中控制性能显著下降。</w:t>
      </w:r>
    </w:p>
    <w:p w14:paraId="3B1D063B">
      <w:r>
        <w:t>针对上述问题，本文提出一种融合时间感知机制的GRU-Attention-TD3算法，旨在提升电磁式吸振器在时滞与采样不确定性条件下的控制精度与鲁棒性。通过在TD3框架中集成GRU网络与注意力机制，构建能够捕捉长时序依赖关系的特征提取模块；设计包含时滞补偿项与采样间隔信息的增强状态向量，实现对动态时间特性的精准建模。最终通过仿真实验验证所提算法在变时滞环境下的优越性，为工程结构振动控制提供新的技术路径。</w:t>
      </w:r>
    </w:p>
    <w:bookmarkEnd w:id="1"/>
    <w:p w14:paraId="74D71CD3">
      <w:pPr>
        <w:pStyle w:val="3"/>
      </w:pPr>
      <w:bookmarkStart w:id="2" w:name="灵犀_dxx095pu85bp0ujk"/>
      <w:r>
        <w:t>系统建模与问题描述</w:t>
      </w:r>
    </w:p>
    <w:p w14:paraId="66B5E35D">
      <w:pPr>
        <w:pStyle w:val="4"/>
      </w:pPr>
      <w:r>
        <w:t>受控对象动力学模型</w:t>
      </w:r>
    </w:p>
    <w:p w14:paraId="445D2271">
      <w:r>
        <w:t>电磁式吸振器-主结构耦合系统采用二自由度集中质量模型描述，主要由电磁作动器质量块（$m_1$）、主结构质量块（$m_2$）、连接弹簧（刚度系数$k_1$）、阻尼器（阻尼系数$c_1$）及主结构支撑弹簧（刚度系数$k_2$）组成。其中，电磁作动器通过输出控制力$F$作用于质量块$m_1$，实现对主结构振动的主动抑制。系统在外部激励$f(t)$作用下产生振动，$w_1$和$w_2$分别表示作动器质量块与主结构的垂直位移响应。</w:t>
      </w:r>
    </w:p>
    <w:p w14:paraId="3673C7A8">
      <w:r>
        <w:t>基于牛顿第二定律，对两质量块进行受力分析可建立系统动力学方程。对于电磁作动器质量块$m_1$，其运动方程满足：</w:t>
      </w:r>
    </w:p>
    <w:p w14:paraId="54420FA2">
      <w:r>
        <w:t>$$m_1\ddot{w_1}+c_1(\dot{w_1}-\dot{w_2})+k_1(w_1-w_2)+F=0$$</w:t>
      </w:r>
    </w:p>
    <w:p w14:paraId="6E94002E">
      <w:r>
        <w:t>式中，$c_1(\dot{w_1}-\dot{w_2})$为阻尼器产生的相对速度阻尼力，$k_1(w_1-w_2)$为连接弹簧的弹性恢复力，$F$为电磁作动器输出控制力（方向与振动方向相反）。</w:t>
      </w:r>
    </w:p>
    <w:p w14:paraId="241A7144">
      <w:r>
        <w:t>主结构质量块$m_2$的动力学方程为：</w:t>
      </w:r>
    </w:p>
    <w:p w14:paraId="0F707CAD">
      <w:r>
        <w:t>$$m_2\ddot{w_2}+c_1(\dot{w_2}-\dot{w_1})+k_2w_2-f-F=0$$</w:t>
      </w:r>
    </w:p>
    <w:p w14:paraId="4EC3B276">
      <w:r>
        <w:t>其中，$k_2w_2$为主结构支撑弹簧的弹性力，$f$为外部激励载荷，$c_1(\dot{w_2}-\dot{w_1})$与$-F$分别表示阻尼器反作用力和作动器传递至主结构的力。</w:t>
      </w:r>
    </w:p>
    <w:p w14:paraId="01FFA7A1">
      <w:r>
        <w:t>将上述方程整理为状态空间形式，选取状态向量$\boldsymbol{x}=[w_1,\dot{w_1},w_2,\dot{w_2}]^T$，控制输入$u=F$，外部激励$f$为扰动项，可构建线性时不变系统模型，为控制器设计提供基础动力学描述。</w:t>
      </w:r>
    </w:p>
    <w:p w14:paraId="4CE0E872">
      <w:r>
        <w:t>振动控制问题可转化为马尔可夫决策过程（MDP）框架下的序贯决策问题。在MDP模型中，智能体（控制器）通过观测系统状态$s_t\in\mathcal{S}$，执行控制动作$a_t\in\mathcal{A}$，获得环境反馈的奖励信号$r_t$，并转移至新状态$s_{t+1}$。TD3（Twin Delayed Deep Deterministic Policy Gradient）算法作为DRL领域的先进方法，采用双 Critic 网络与延迟策略更新机制缓解过估计问题，其核心包含：</w:t>
      </w:r>
    </w:p>
    <w:p w14:paraId="4830FDEC">
      <w:pPr>
        <w:numPr>
          <w:ilvl w:val="0"/>
          <w:numId w:val="3"/>
        </w:numPr>
        <w:spacing w:before="0" w:beforeAutospacing="1" w:after="0" w:afterAutospacing="1"/>
        <w:ind w:left="720" w:hanging="360"/>
      </w:pPr>
      <w:r>
        <w:t>经验回放池：存储$(s_t,a_t,r_t,s_{t+1})$经验元组，通过随机采样打破样本相关性；</w:t>
      </w:r>
    </w:p>
    <w:p w14:paraId="46FD1E08">
      <w:pPr>
        <w:numPr>
          <w:ilvl w:val="0"/>
          <w:numId w:val="3"/>
        </w:numPr>
        <w:spacing w:before="0" w:beforeAutospacing="1" w:after="0" w:afterAutospacing="1"/>
        <w:ind w:left="720" w:hanging="360"/>
      </w:pPr>
      <w:r>
        <w:t>目标网络：维持 Critic 与 Actor 网络的目标版本，采用软更新策略$\theta' \leftarrow \tau\theta + (1-\tau)\theta'$提升训练稳定性；</w:t>
      </w:r>
    </w:p>
    <w:p w14:paraId="29EE643D">
      <w:pPr>
        <w:numPr>
          <w:ilvl w:val="0"/>
          <w:numId w:val="3"/>
        </w:numPr>
        <w:spacing w:before="0" w:beforeAutospacing="1" w:after="0" w:afterAutospacing="1"/>
        <w:ind w:left="720" w:hanging="360"/>
      </w:pPr>
      <w:r>
        <w:t>策略延迟更新：每更新两次 Critic 网络才更新一次 Actor 网络，降低策略波动对价值估计的影响。通过上述机制，TD3算法能够在连续动作空间中高效学习最优控制策略。</w:t>
      </w:r>
    </w:p>
    <w:p w14:paraId="0208E5A3">
      <w:pPr>
        <w:pStyle w:val="4"/>
      </w:pPr>
      <w:r>
        <w:t>时滞与采样不确定性建模</w:t>
      </w:r>
    </w:p>
    <w:p w14:paraId="4263B4FA">
      <w:r>
        <w:t>实际控制系统中，时滞效应由多环节累积形成，定义总时滞$\tau$为传感器信号传输延迟$\tau_{sensor}$、控制器计算延迟$\tau_{compute}$与作动器响应延迟$\tau_{actuator}$之和，即：</w:t>
      </w:r>
    </w:p>
    <w:p w14:paraId="15C0D113">
      <w:r>
        <w:t>$$\tau = \tau_{sensor} + \tau_{compute} + \tau_{actuator}$$</w:t>
      </w:r>
    </w:p>
    <w:p w14:paraId="1A749DB0">
      <w:r>
        <w:t>式中，$\tau_{sensor}$取决于数据采集卡与通信总线的传输速率，$\tau_{compute}$与控制器算力及算法复杂度相关，$\tau_{actuator}$由电磁作动器的线圈电感、磁滞特性等动态参数决定。时滞导致控制动作$a_t$实际作用于系统的时刻滞后于状态观测时刻，使得基于当前状态计算的最优动作与系统真实需求产生偏差，降低控制精度甚至引发闭环系统失稳。</w:t>
      </w:r>
    </w:p>
    <w:p w14:paraId="49A7F13B">
      <w:r>
        <w:t>采样过程受硬件时钟抖动、CPU资源竞争等因素影响，呈现变步长特性。定义采样时刻序列满足：</w:t>
      </w:r>
    </w:p>
    <w:p w14:paraId="2D1295F0">
      <w:r>
        <w:t>$$t_{k+1} = t_k + \Delta t + \delta_k$$</w:t>
      </w:r>
    </w:p>
    <w:p w14:paraId="0AF56E82">
      <w:r>
        <w:t>其中，$\Delta t$为标称采样间隔，$\delta_k$为服从均匀分布的随机扰动（$\delta_k\sim\mathcal{U}[-\Delta t/5,\Delta t/5]$），表征采样间隔的不确定性。变步长采样使得状态序列的时间尺度不规则，传统基于固定时间步长的时序建模方法（如滑动窗口）难以准确捕捉系统动态演化规律，导致时序特征提取失真。</w:t>
      </w:r>
    </w:p>
    <w:p w14:paraId="0F09769F">
      <w:r>
        <w:t>时滞与采样不确定性的耦合作用，使得系统状态观测具有“非实时性”与“非均匀性”双重特征。当$\tau$大于采样间隔$\Delta t$时，控制动作可能基于过时的历史状态计算；而$\delta_k$的随机波动则破坏了状态转移的时间周期性，导致传统时序模型的预测误差随时间累积。因此，控制器设计需同时考虑时间延迟补偿与非均匀时序特征提取，以适应复杂时变环境。</w:t>
      </w:r>
    </w:p>
    <w:bookmarkEnd w:id="2"/>
    <w:p w14:paraId="11874B1C">
      <w:pPr>
        <w:pStyle w:val="3"/>
      </w:pPr>
      <w:bookmarkStart w:id="3" w:name="灵犀_2v1wv4nfk65vp6mz"/>
      <w:r>
        <w:t>基于GRU-TD3算法的控制器设计</w:t>
      </w:r>
    </w:p>
    <w:p w14:paraId="48F4748C">
      <w:pPr>
        <w:pStyle w:val="4"/>
      </w:pPr>
      <w:r>
        <w:t>GRU网络集成</w:t>
      </w:r>
    </w:p>
    <w:p w14:paraId="3DF9EFF7">
      <w:r>
        <w:t>为解决时滞环境下的时序特征提取问题，在TD3算法框架中引入门控循环单元（GRU）作为状态编码器。GRU通过重置门与更新门的动态调节机制，自适应捕捉长序列数据中的关键时间依赖关系，其核心结构包含：重置门$r_t = \sigma(W_r \cdot [x_t, h_{t-1}] + b_r)$，用于控制历史隐藏状态$h_{t-1}$的保留比例；更新门$z_t = \sigma(W_z \cdot [x_t, h_{t-1}] + b_z)$，决定当前输入$x_t$与历史状态的融合权重。其中$\sigma(\cdot)$为Sigmoid激活函数，$W_r$、$W_z$分别为重置门与更新门的权重矩阵，$b_r$、$b_z$为偏置项。经门控调节后，候选隐藏状态$ \tilde{h}</w:t>
      </w:r>
      <w:r>
        <w:rPr>
          <w:u w:val="words"/>
        </w:rPr>
        <w:t>t = \tanh(W_h \cdot [r_t \odot h</w:t>
      </w:r>
      <w:r>
        <w:t>{t-1}, x_t] + b_h) $，最终隐藏状态$ h_t = (1-z_t) \odot h_{t-1} + z_t \odot \tilde{h}_t $，通过$\tanh(\cdot)$函数将输出限制在[-1,1]区间。</w:t>
      </w:r>
    </w:p>
    <w:p w14:paraId="0C199244">
      <w:r>
        <w:t>GRU模块以滑动窗口方式接收历史状态序列${s_{t-L+1}, s_{t-L+2}, ..., s_t}$（序列长度$L=10$），其中每个状态$s_t$包含主结构位移$w_2$、速度$\dot{w}_2$及控制作动器输出力$F$。经GRU编码后输出的隐藏状态向量$h_t$，与当前时刻原始状态$s_t$拼接形成增强状态$\hat{s}_t = [s_t, h_t]$，作为TD3算法Actor-Critic网络的输入。这种集成方式使控制器能够利用历史时序信息预测系统未来动态，提前生成补偿时滞的控制动作。相较于长短期记忆网络（LSTM），GRU省去了细胞状态的独立控制机制，参数规模减少40%以上，计算效率提升35%，更适用于嵌入式控制系统的实时性要求。</w:t>
      </w:r>
    </w:p>
    <w:p w14:paraId="61EBD729">
      <w:pPr>
        <w:pStyle w:val="4"/>
      </w:pPr>
      <w:r>
        <w:t>注意力层集成</w:t>
      </w:r>
    </w:p>
    <w:p w14:paraId="47667084">
      <w:r>
        <w:t>为增强模型对关键时间步的敏感性，在GRU输出端引入时间感知注意力机制。该机制通过计算历史隐藏状态序列${h_{t-L+1}, ..., h_t}$的注意力权重，动态聚焦对当前控制决策贡献最大的时序片段。注意力层首先对GRU输出的隐藏状态$h_i$进行线性变换得到查询向量$q_i = W_q h_i$，同时将当前时刻隐藏状态$h_t$作为键向量$k_t = W_k h_t$，通过缩放点积计算相似性分数$e_{ti} = \frac{q_i^T k_t}{\sqrt{d_k}}$（$d_k$为键向量维度），经Softmax归一化后得到注意力权重$\alpha_i = \frac{\exp(e_{ti})}{\sum_{j=t-L+1}^t \exp(e_{tj})}$。最终加权融合的上下文向量$c_t = \sum_{i=t-L+1}^t \alpha_i h_i$，与时间感知状态向量$S_t = [x_t, \dot{x}</w:t>
      </w:r>
      <w:r>
        <w:rPr>
          <w:u w:val="words"/>
        </w:rPr>
        <w:t>t, \ddot{x}t, \Delta t{last}, \tau</w:t>
      </w:r>
      <w:r>
        <w:t>{delay}]$拼接后输入后续网络。</w:t>
      </w:r>
    </w:p>
    <w:p w14:paraId="5EC7F7BA">
      <w:r>
        <w:t>时间感知状态向量$S_t$的设计是提升时变环境适应性的关键。其中$x_t, \dot{x}</w:t>
      </w:r>
      <w:r>
        <w:rPr>
          <w:u w:val="words"/>
        </w:rPr>
        <w:t>t, \ddot{x}t$分别为主结构的位移、速度、加速度实时观测值；$\Delta t{last} = t - t</w:t>
      </w:r>
      <w:r>
        <w:t>{t-1}$记录上一采样间隔，反映当前采样频率波动；$\tau_{delay}$为根据历史数据估计的当前时滞量。通过将这些时间维度特征显式融入状态表示，使策略网络能够针对性调整控制动作的时间提前量。与传统自注意力机制不同，该模块额外引入时间衰减因子$\beta_i = \exp(-\lambda (t - i))$（$\lambda$为衰减系数），对远期历史状态施加权重惩罚，避免过时信息对当前决策的干扰。</w:t>
      </w:r>
    </w:p>
    <w:p w14:paraId="1B96C2E8">
      <w:pPr>
        <w:pStyle w:val="4"/>
      </w:pPr>
      <w:r>
        <w:t>训练策略</w:t>
      </w:r>
    </w:p>
    <w:p w14:paraId="5149CCC0">
      <w:r>
        <w:t>增强状态向量的构建采用多层级特征融合策略：底层包含系统物理状态（位移、速度等），中层为GRU提取的时序特征，顶层集成注意力机制输出的关键时间步权重。这种结构化表示使控制器能同时感知瞬时动态与长期趋势。训练过程中采用分段式奖励函数$R_t$平衡减振效果与控制能耗，其数学表达式为：</w:t>
      </w:r>
    </w:p>
    <w:p w14:paraId="6B4BFA4E">
      <w:r>
        <w:t>$R_t = \begin{cases}\frac{tolerance - |x_{2,t+1}|}{tolerance} + \mathbb{1}</w:t>
      </w:r>
      <w:r>
        <w:rPr>
          <w:u w:val="words"/>
        </w:rPr>
        <w:t>{|x</w:t>
      </w:r>
      <w:r>
        <w:t>{2,t+1}| &lt; |x_{2,t}|}, &amp; |x_{2,t+1}| \leq tolerance \-1 - \mathbb{1}</w:t>
      </w:r>
      <w:r>
        <w:rPr>
          <w:u w:val="words"/>
        </w:rPr>
        <w:t>{|x</w:t>
      </w:r>
      <w:r>
        <w:t>{2,t+1}| &gt; |x_{2,t}|} - \log_{10}\left(\frac{|x_{2,t+1}|}{tolerance}\right), &amp; |x_{2,t+1}| &gt; tolerance\end{cases} - \frac{|F_t|}{F_{max}}$</w:t>
      </w:r>
    </w:p>
    <w:p w14:paraId="7D364143">
      <w:r>
        <w:t>其中各项功能划分如下表所示：</w:t>
      </w:r>
    </w:p>
    <w:tbl>
      <w:tblPr>
        <w:tblW w:w="0" w:type="auto"/>
        <w:tblInd w:w="0" w:type="dxa"/>
        <w:tblLayout w:type="fixed"/>
        <w:tblCellMar>
          <w:top w:w="0" w:type="dxa"/>
          <w:left w:w="0" w:type="dxa"/>
          <w:bottom w:w="0" w:type="dxa"/>
          <w:right w:w="0" w:type="dxa"/>
        </w:tblCellMar>
      </w:tblPr>
      <w:tblGrid>
        <w:gridCol w:w="2880"/>
        <w:gridCol w:w="2880"/>
        <w:gridCol w:w="2880"/>
      </w:tblGrid>
      <w:tr w14:paraId="3B50D2CF">
        <w:tc>
          <w:tcPr>
            <w:tcW w:w="0" w:type="auto"/>
            <w:vAlign w:val="center"/>
          </w:tcPr>
          <w:p w14:paraId="03411E16">
            <w:pPr>
              <w:jc w:val="center"/>
              <w:rPr>
                <w:b/>
              </w:rPr>
            </w:pPr>
            <w:r>
              <w:rPr>
                <w:b/>
              </w:rPr>
              <w:t>奖励项类别</w:t>
            </w:r>
          </w:p>
        </w:tc>
        <w:tc>
          <w:tcPr>
            <w:tcW w:w="0" w:type="auto"/>
            <w:vAlign w:val="center"/>
          </w:tcPr>
          <w:p w14:paraId="72513354">
            <w:pPr>
              <w:jc w:val="center"/>
              <w:rPr>
                <w:b/>
              </w:rPr>
            </w:pPr>
            <w:r>
              <w:rPr>
                <w:b/>
              </w:rPr>
              <w:t>表达式片段</w:t>
            </w:r>
          </w:p>
        </w:tc>
        <w:tc>
          <w:tcPr>
            <w:tcW w:w="0" w:type="auto"/>
            <w:vAlign w:val="center"/>
          </w:tcPr>
          <w:p w14:paraId="5BFAB035">
            <w:pPr>
              <w:jc w:val="center"/>
              <w:rPr>
                <w:b/>
              </w:rPr>
            </w:pPr>
            <w:r>
              <w:rPr>
                <w:b/>
              </w:rPr>
              <w:t>功能说明</w:t>
            </w:r>
          </w:p>
        </w:tc>
      </w:tr>
      <w:tr w14:paraId="55C9CABC">
        <w:tc>
          <w:tcPr>
            <w:tcW w:w="0" w:type="auto"/>
            <w:vAlign w:val="center"/>
          </w:tcPr>
          <w:p w14:paraId="07484B2A">
            <w:r>
              <w:t>减振效果奖励（达标）</w:t>
            </w:r>
          </w:p>
        </w:tc>
        <w:tc>
          <w:tcPr>
            <w:tcW w:w="0" w:type="auto"/>
            <w:vAlign w:val="center"/>
          </w:tcPr>
          <w:p w14:paraId="473E4070">
            <w:r>
              <w:t>$\frac{tolerance -</w:t>
            </w:r>
          </w:p>
        </w:tc>
        <w:tc>
          <w:tcPr>
            <w:tcW w:w="0" w:type="auto"/>
            <w:vAlign w:val="center"/>
          </w:tcPr>
          <w:p w14:paraId="2E6A48E6">
            <w:r>
              <w:t>x_{2,t+1}</w:t>
            </w:r>
          </w:p>
        </w:tc>
      </w:tr>
      <w:tr w14:paraId="55CA015B">
        <w:tc>
          <w:tcPr>
            <w:tcW w:w="0" w:type="auto"/>
            <w:vAlign w:val="center"/>
          </w:tcPr>
          <w:p w14:paraId="61E5E811">
            <w:r>
              <w:t>趋势优化奖励</w:t>
            </w:r>
          </w:p>
        </w:tc>
        <w:tc>
          <w:tcPr>
            <w:tcW w:w="0" w:type="auto"/>
            <w:vAlign w:val="center"/>
          </w:tcPr>
          <w:p w14:paraId="03757742">
            <w:r>
              <w:t>$+ \mathbb{1}_{</w:t>
            </w:r>
          </w:p>
        </w:tc>
        <w:tc>
          <w:tcPr>
            <w:tcW w:w="0" w:type="auto"/>
            <w:vAlign w:val="center"/>
          </w:tcPr>
          <w:p w14:paraId="6AF0B8D1">
            <w:r>
              <w:t>x_{2,t+1}</w:t>
            </w:r>
          </w:p>
        </w:tc>
      </w:tr>
      <w:tr w14:paraId="6D4F8F74">
        <w:tc>
          <w:tcPr>
            <w:tcW w:w="0" w:type="auto"/>
            <w:vAlign w:val="center"/>
          </w:tcPr>
          <w:p w14:paraId="0B80B997">
            <w:r>
              <w:t>超限惩罚</w:t>
            </w:r>
          </w:p>
        </w:tc>
        <w:tc>
          <w:tcPr>
            <w:tcW w:w="0" w:type="auto"/>
            <w:vAlign w:val="center"/>
          </w:tcPr>
          <w:p w14:paraId="3F9F0877">
            <w:r>
              <w:t>$-1 - \mathbb{1}_{</w:t>
            </w:r>
          </w:p>
        </w:tc>
        <w:tc>
          <w:tcPr>
            <w:tcW w:w="0" w:type="auto"/>
            <w:vAlign w:val="center"/>
          </w:tcPr>
          <w:p w14:paraId="18C123E0">
            <w:r>
              <w:t>x_{2,t+1}</w:t>
            </w:r>
          </w:p>
        </w:tc>
      </w:tr>
      <w:tr w14:paraId="1686E86B">
        <w:tc>
          <w:tcPr>
            <w:tcW w:w="0" w:type="auto"/>
            <w:vAlign w:val="center"/>
          </w:tcPr>
          <w:p w14:paraId="2ECA00BB">
            <w:r>
              <w:t>超限程度惩罚</w:t>
            </w:r>
          </w:p>
        </w:tc>
        <w:tc>
          <w:tcPr>
            <w:tcW w:w="0" w:type="auto"/>
            <w:vAlign w:val="center"/>
          </w:tcPr>
          <w:p w14:paraId="2F61106D">
            <w:r>
              <w:t>$- \log_{10}\left(\frac{</w:t>
            </w:r>
          </w:p>
        </w:tc>
        <w:tc>
          <w:tcPr>
            <w:tcW w:w="0" w:type="auto"/>
            <w:vAlign w:val="center"/>
          </w:tcPr>
          <w:p w14:paraId="4865FD09">
            <w:r>
              <w:t>x_{2,t+1}</w:t>
            </w:r>
          </w:p>
        </w:tc>
      </w:tr>
      <w:tr w14:paraId="62F03203">
        <w:tc>
          <w:tcPr>
            <w:tcW w:w="0" w:type="auto"/>
            <w:vAlign w:val="center"/>
          </w:tcPr>
          <w:p w14:paraId="1D82AC71">
            <w:r>
              <w:t>能耗惩罚</w:t>
            </w:r>
          </w:p>
        </w:tc>
        <w:tc>
          <w:tcPr>
            <w:tcW w:w="0" w:type="auto"/>
            <w:vAlign w:val="center"/>
          </w:tcPr>
          <w:p w14:paraId="46D1001F">
            <w:r>
              <w:t>$- \frac{</w:t>
            </w:r>
          </w:p>
        </w:tc>
        <w:tc>
          <w:tcPr>
            <w:tcW w:w="0" w:type="auto"/>
            <w:vAlign w:val="center"/>
          </w:tcPr>
          <w:p w14:paraId="2C08A886">
            <w:r>
              <w:t>F_t</w:t>
            </w:r>
          </w:p>
        </w:tc>
      </w:tr>
    </w:tbl>
    <w:p w14:paraId="33F4C9A6">
      <w:r>
        <w:t>算法训练流程采用动态时滞与采样步长生成机制：在每个训练周期，随机生成服从均匀分布的时滞量$\tau \sim \mathcal{U}[1,3]$（单位采样步）和采样间隔扰动$\delta_k \sim \mathcal{U}[-\Delta t/5, \Delta t/5]$，模拟真实环境的时变特性。经验回放池存储包含增强状态的五元组$(\hat{s}</w:t>
      </w:r>
      <w:r>
        <w:rPr>
          <w:u w:val="words"/>
        </w:rPr>
        <w:t>t, a_t, r_t, \hat{s}</w:t>
      </w:r>
      <w:r>
        <w:t>{t+1}, done_t)$，容量设为1e6。Actor-Critic网络参数更新时，采用梯度裁剪机制$\nabla \leftarrow \nabla \cdot \frac{\delta}{|\nabla|</w:t>
      </w:r>
      <w:r>
        <w:rPr>
          <w:u w:val="words"/>
        </w:rPr>
        <w:t>2}$（裁剪阈值$\delta=1.0$），防止梯度爆炸导致的训练不稳定。每次训练迭代从回放池随机采样256个样本，通过TD3的双Critic最小化损失$L = \mathbb{E}[(Q(s,a) - (r + \gamma \min</w:t>
      </w:r>
      <w:r>
        <w:t>{i=1,2} Q'_i(s', \pi'(s'))))^2]$，并每间隔2个Critic更新周期执行一次Actor策略梯度更新。</w:t>
      </w:r>
    </w:p>
    <w:bookmarkEnd w:id="3"/>
    <w:p w14:paraId="767ED307">
      <w:pPr>
        <w:pStyle w:val="3"/>
      </w:pPr>
      <w:bookmarkStart w:id="4" w:name="灵犀_ossbu51xkhinj6jf"/>
      <w:r>
        <w:t>仿真实验设计与分析</w:t>
      </w:r>
    </w:p>
    <w:p w14:paraId="2F92E84A">
      <w:pPr>
        <w:pStyle w:val="4"/>
      </w:pPr>
      <w:r>
        <w:t>实验设置</w:t>
      </w:r>
    </w:p>
    <w:p w14:paraId="78717064">
      <w:r>
        <w:t>为验证所提GRU-Attention-TD3算法的控制性能，基于MATLAB/Simulink搭建二自由度电磁式吸振器仿真平台。系统物理参数参照典型精密机床减振场景配置，具体数值如下表所示：</w:t>
      </w:r>
    </w:p>
    <w:tbl>
      <w:tblPr>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BCB3839">
        <w:tc>
          <w:tcPr>
            <w:tcW w:w="0" w:type="auto"/>
            <w:vAlign w:val="center"/>
          </w:tcPr>
          <w:p w14:paraId="130A5C97">
            <w:pPr>
              <w:jc w:val="center"/>
              <w:rPr>
                <w:b/>
              </w:rPr>
            </w:pPr>
            <w:r>
              <w:rPr>
                <w:b/>
              </w:rPr>
              <w:t>参数名称</w:t>
            </w:r>
          </w:p>
        </w:tc>
        <w:tc>
          <w:tcPr>
            <w:tcW w:w="0" w:type="auto"/>
            <w:vAlign w:val="center"/>
          </w:tcPr>
          <w:p w14:paraId="4A8EAF6A">
            <w:pPr>
              <w:jc w:val="center"/>
              <w:rPr>
                <w:b/>
              </w:rPr>
            </w:pPr>
            <w:r>
              <w:rPr>
                <w:b/>
              </w:rPr>
              <w:t>符号</w:t>
            </w:r>
          </w:p>
        </w:tc>
        <w:tc>
          <w:tcPr>
            <w:tcW w:w="0" w:type="auto"/>
            <w:vAlign w:val="center"/>
          </w:tcPr>
          <w:p w14:paraId="66B9B96A">
            <w:pPr>
              <w:jc w:val="center"/>
              <w:rPr>
                <w:b/>
              </w:rPr>
            </w:pPr>
            <w:r>
              <w:rPr>
                <w:b/>
              </w:rPr>
              <w:t>数值</w:t>
            </w:r>
          </w:p>
        </w:tc>
        <w:tc>
          <w:tcPr>
            <w:tcW w:w="0" w:type="auto"/>
            <w:vAlign w:val="center"/>
          </w:tcPr>
          <w:p w14:paraId="4E148466">
            <w:pPr>
              <w:jc w:val="center"/>
              <w:rPr>
                <w:b/>
              </w:rPr>
            </w:pPr>
            <w:r>
              <w:rPr>
                <w:b/>
              </w:rPr>
              <w:t>单位</w:t>
            </w:r>
          </w:p>
        </w:tc>
        <w:tc>
          <w:tcPr>
            <w:tcW w:w="0" w:type="auto"/>
            <w:vAlign w:val="center"/>
          </w:tcPr>
          <w:p w14:paraId="105B406C">
            <w:pPr>
              <w:jc w:val="center"/>
              <w:rPr>
                <w:b/>
              </w:rPr>
            </w:pPr>
            <w:r>
              <w:rPr>
                <w:b/>
              </w:rPr>
              <w:t>说明</w:t>
            </w:r>
          </w:p>
        </w:tc>
      </w:tr>
      <w:tr w14:paraId="774241F2">
        <w:tc>
          <w:tcPr>
            <w:tcW w:w="0" w:type="auto"/>
            <w:vAlign w:val="center"/>
          </w:tcPr>
          <w:p w14:paraId="4A8CFCBA">
            <w:r>
              <w:t>作动器质量</w:t>
            </w:r>
          </w:p>
        </w:tc>
        <w:tc>
          <w:tcPr>
            <w:tcW w:w="0" w:type="auto"/>
            <w:vAlign w:val="center"/>
          </w:tcPr>
          <w:p w14:paraId="60680FAA">
            <w:r>
              <w:t>(m_1)</w:t>
            </w:r>
          </w:p>
        </w:tc>
        <w:tc>
          <w:tcPr>
            <w:tcW w:w="0" w:type="auto"/>
            <w:vAlign w:val="center"/>
          </w:tcPr>
          <w:p w14:paraId="7E897DF2">
            <w:r>
              <w:t>5.2</w:t>
            </w:r>
          </w:p>
        </w:tc>
        <w:tc>
          <w:tcPr>
            <w:tcW w:w="0" w:type="auto"/>
            <w:vAlign w:val="center"/>
          </w:tcPr>
          <w:p w14:paraId="39C779E4">
            <w:r>
              <w:t>kg</w:t>
            </w:r>
          </w:p>
        </w:tc>
        <w:tc>
          <w:tcPr>
            <w:tcW w:w="0" w:type="auto"/>
            <w:vAlign w:val="center"/>
          </w:tcPr>
          <w:p w14:paraId="4EBDCF13">
            <w:r>
              <w:t>电磁作动器动子部分质量</w:t>
            </w:r>
          </w:p>
        </w:tc>
      </w:tr>
      <w:tr w14:paraId="77812EFC">
        <w:tc>
          <w:tcPr>
            <w:tcW w:w="0" w:type="auto"/>
            <w:vAlign w:val="center"/>
          </w:tcPr>
          <w:p w14:paraId="68DA857E">
            <w:r>
              <w:t>主结构质量</w:t>
            </w:r>
          </w:p>
        </w:tc>
        <w:tc>
          <w:tcPr>
            <w:tcW w:w="0" w:type="auto"/>
            <w:vAlign w:val="center"/>
          </w:tcPr>
          <w:p w14:paraId="1140F2F9">
            <w:r>
              <w:t>(m_2)</w:t>
            </w:r>
          </w:p>
        </w:tc>
        <w:tc>
          <w:tcPr>
            <w:tcW w:w="0" w:type="auto"/>
            <w:vAlign w:val="center"/>
          </w:tcPr>
          <w:p w14:paraId="6BB4BE75">
            <w:r>
              <w:t>80.0</w:t>
            </w:r>
          </w:p>
        </w:tc>
        <w:tc>
          <w:tcPr>
            <w:tcW w:w="0" w:type="auto"/>
            <w:vAlign w:val="center"/>
          </w:tcPr>
          <w:p w14:paraId="330BC916">
            <w:r>
              <w:t>kg</w:t>
            </w:r>
          </w:p>
        </w:tc>
        <w:tc>
          <w:tcPr>
            <w:tcW w:w="0" w:type="auto"/>
            <w:vAlign w:val="center"/>
          </w:tcPr>
          <w:p w14:paraId="79A49F3C">
            <w:r>
              <w:t>被减振的主体结构等效质量</w:t>
            </w:r>
          </w:p>
        </w:tc>
      </w:tr>
      <w:tr w14:paraId="0F9F830D">
        <w:tc>
          <w:tcPr>
            <w:tcW w:w="0" w:type="auto"/>
            <w:vAlign w:val="center"/>
          </w:tcPr>
          <w:p w14:paraId="5639B68F">
            <w:r>
              <w:t>连接弹簧刚度</w:t>
            </w:r>
          </w:p>
        </w:tc>
        <w:tc>
          <w:tcPr>
            <w:tcW w:w="0" w:type="auto"/>
            <w:vAlign w:val="center"/>
          </w:tcPr>
          <w:p w14:paraId="4E4DCFE7">
            <w:r>
              <w:t>(k_1)</w:t>
            </w:r>
          </w:p>
        </w:tc>
        <w:tc>
          <w:tcPr>
            <w:tcW w:w="0" w:type="auto"/>
            <w:vAlign w:val="center"/>
          </w:tcPr>
          <w:p w14:paraId="4138B58E">
            <w:r>
              <w:t>2800</w:t>
            </w:r>
          </w:p>
        </w:tc>
        <w:tc>
          <w:tcPr>
            <w:tcW w:w="0" w:type="auto"/>
            <w:vAlign w:val="center"/>
          </w:tcPr>
          <w:p w14:paraId="37A71382">
            <w:r>
              <w:t>N/m</w:t>
            </w:r>
          </w:p>
        </w:tc>
        <w:tc>
          <w:tcPr>
            <w:tcW w:w="0" w:type="auto"/>
            <w:vAlign w:val="center"/>
          </w:tcPr>
          <w:p w14:paraId="11E1B702">
            <w:r>
              <w:t>作动器与主结构间连接弹簧的弹性系数</w:t>
            </w:r>
          </w:p>
        </w:tc>
      </w:tr>
      <w:tr w14:paraId="21340949">
        <w:tc>
          <w:tcPr>
            <w:tcW w:w="0" w:type="auto"/>
            <w:vAlign w:val="center"/>
          </w:tcPr>
          <w:p w14:paraId="3459D191">
            <w:r>
              <w:t>主结构支撑刚度</w:t>
            </w:r>
          </w:p>
        </w:tc>
        <w:tc>
          <w:tcPr>
            <w:tcW w:w="0" w:type="auto"/>
            <w:vAlign w:val="center"/>
          </w:tcPr>
          <w:p w14:paraId="20E92761">
            <w:r>
              <w:t>(k_2)</w:t>
            </w:r>
          </w:p>
        </w:tc>
        <w:tc>
          <w:tcPr>
            <w:tcW w:w="0" w:type="auto"/>
            <w:vAlign w:val="center"/>
          </w:tcPr>
          <w:p w14:paraId="65839C7B">
            <w:r>
              <w:t>12000</w:t>
            </w:r>
          </w:p>
        </w:tc>
        <w:tc>
          <w:tcPr>
            <w:tcW w:w="0" w:type="auto"/>
            <w:vAlign w:val="center"/>
          </w:tcPr>
          <w:p w14:paraId="1438ABD5">
            <w:r>
              <w:t>N/m</w:t>
            </w:r>
          </w:p>
        </w:tc>
        <w:tc>
          <w:tcPr>
            <w:tcW w:w="0" w:type="auto"/>
            <w:vAlign w:val="center"/>
          </w:tcPr>
          <w:p w14:paraId="7A26CF56">
            <w:r>
              <w:t>主结构底部支撑弹簧的弹性系数</w:t>
            </w:r>
          </w:p>
        </w:tc>
      </w:tr>
      <w:tr w14:paraId="779A64FE">
        <w:tc>
          <w:tcPr>
            <w:tcW w:w="0" w:type="auto"/>
            <w:vAlign w:val="center"/>
          </w:tcPr>
          <w:p w14:paraId="02EE50E8">
            <w:r>
              <w:t>相对阻尼系数</w:t>
            </w:r>
          </w:p>
        </w:tc>
        <w:tc>
          <w:tcPr>
            <w:tcW w:w="0" w:type="auto"/>
            <w:vAlign w:val="center"/>
          </w:tcPr>
          <w:p w14:paraId="7141AC13">
            <w:r>
              <w:t>(c_1)</w:t>
            </w:r>
          </w:p>
        </w:tc>
        <w:tc>
          <w:tcPr>
            <w:tcW w:w="0" w:type="auto"/>
            <w:vAlign w:val="center"/>
          </w:tcPr>
          <w:p w14:paraId="5CA61131">
            <w:r>
              <w:t>35.6</w:t>
            </w:r>
          </w:p>
        </w:tc>
        <w:tc>
          <w:tcPr>
            <w:tcW w:w="0" w:type="auto"/>
            <w:vAlign w:val="center"/>
          </w:tcPr>
          <w:p w14:paraId="135D14BE">
            <w:r>
              <w:t>N·s/m</w:t>
            </w:r>
          </w:p>
        </w:tc>
        <w:tc>
          <w:tcPr>
            <w:tcW w:w="0" w:type="auto"/>
            <w:vAlign w:val="center"/>
          </w:tcPr>
          <w:p w14:paraId="78C93FF9">
            <w:r>
              <w:t>连接阻尼器的粘性阻尼系数</w:t>
            </w:r>
          </w:p>
        </w:tc>
      </w:tr>
      <w:tr w14:paraId="63C4069A">
        <w:tc>
          <w:tcPr>
            <w:tcW w:w="0" w:type="auto"/>
            <w:vAlign w:val="center"/>
          </w:tcPr>
          <w:p w14:paraId="42D1564D">
            <w:r>
              <w:t>最大电磁力</w:t>
            </w:r>
          </w:p>
        </w:tc>
        <w:tc>
          <w:tcPr>
            <w:tcW w:w="0" w:type="auto"/>
            <w:vAlign w:val="center"/>
          </w:tcPr>
          <w:p w14:paraId="1732BA2B">
            <w:r>
              <w:t>(F_{max})</w:t>
            </w:r>
          </w:p>
        </w:tc>
        <w:tc>
          <w:tcPr>
            <w:tcW w:w="0" w:type="auto"/>
            <w:vAlign w:val="center"/>
          </w:tcPr>
          <w:p w14:paraId="1F3A11D4">
            <w:r>
              <w:t>200</w:t>
            </w:r>
          </w:p>
        </w:tc>
        <w:tc>
          <w:tcPr>
            <w:tcW w:w="0" w:type="auto"/>
            <w:vAlign w:val="center"/>
          </w:tcPr>
          <w:p w14:paraId="66166C35">
            <w:r>
              <w:t>N</w:t>
            </w:r>
          </w:p>
        </w:tc>
        <w:tc>
          <w:tcPr>
            <w:tcW w:w="0" w:type="auto"/>
            <w:vAlign w:val="center"/>
          </w:tcPr>
          <w:p w14:paraId="7401F2A9">
            <w:r>
              <w:t>电磁作动器输出力上限</w:t>
            </w:r>
          </w:p>
        </w:tc>
      </w:tr>
      <w:tr w14:paraId="47CB2BFE">
        <w:tc>
          <w:tcPr>
            <w:tcW w:w="0" w:type="auto"/>
            <w:vAlign w:val="center"/>
          </w:tcPr>
          <w:p w14:paraId="5C787B15">
            <w:r>
              <w:t>标称采样间隔</w:t>
            </w:r>
          </w:p>
        </w:tc>
        <w:tc>
          <w:tcPr>
            <w:tcW w:w="0" w:type="auto"/>
            <w:vAlign w:val="center"/>
          </w:tcPr>
          <w:p w14:paraId="1D9C26FA">
            <w:r>
              <w:t>(\Delta t)</w:t>
            </w:r>
          </w:p>
        </w:tc>
        <w:tc>
          <w:tcPr>
            <w:tcW w:w="0" w:type="auto"/>
            <w:vAlign w:val="center"/>
          </w:tcPr>
          <w:p w14:paraId="409CCA0B">
            <w:r>
              <w:t>0.01</w:t>
            </w:r>
          </w:p>
        </w:tc>
        <w:tc>
          <w:tcPr>
            <w:tcW w:w="0" w:type="auto"/>
            <w:vAlign w:val="center"/>
          </w:tcPr>
          <w:p w14:paraId="5AE04F61">
            <w:r>
              <w:t>s</w:t>
            </w:r>
          </w:p>
        </w:tc>
        <w:tc>
          <w:tcPr>
            <w:tcW w:w="0" w:type="auto"/>
            <w:vAlign w:val="center"/>
          </w:tcPr>
          <w:p w14:paraId="11917BD5">
            <w:r>
              <w:t>控制系统默认采样周期</w:t>
            </w:r>
          </w:p>
        </w:tc>
      </w:tr>
      <w:tr w14:paraId="74F5F5FF">
        <w:tc>
          <w:tcPr>
            <w:tcW w:w="0" w:type="auto"/>
            <w:vAlign w:val="center"/>
          </w:tcPr>
          <w:p w14:paraId="643B95FF">
            <w:r>
              <w:t>外部激励类型</w:t>
            </w:r>
          </w:p>
        </w:tc>
        <w:tc>
          <w:tcPr>
            <w:tcW w:w="0" w:type="auto"/>
            <w:vAlign w:val="center"/>
          </w:tcPr>
          <w:p w14:paraId="0306383E">
            <w:r>
              <w:t>(f(t))</w:t>
            </w:r>
          </w:p>
        </w:tc>
        <w:tc>
          <w:tcPr>
            <w:tcW w:w="0" w:type="auto"/>
            <w:vAlign w:val="center"/>
          </w:tcPr>
          <w:p w14:paraId="4B470A1B">
            <w:r>
              <w:t>0.5sin(10πt)+0.3sin(15πt)</w:t>
            </w:r>
          </w:p>
        </w:tc>
        <w:tc>
          <w:tcPr>
            <w:tcW w:w="0" w:type="auto"/>
            <w:vAlign w:val="center"/>
          </w:tcPr>
          <w:p w14:paraId="683FC697">
            <w:r>
              <w:t>N</w:t>
            </w:r>
          </w:p>
        </w:tc>
        <w:tc>
          <w:tcPr>
            <w:tcW w:w="0" w:type="auto"/>
            <w:vAlign w:val="center"/>
          </w:tcPr>
          <w:p w14:paraId="6343C35D">
            <w:r>
              <w:t>多频复合正弦激励，模拟宽频振动干扰</w:t>
            </w:r>
          </w:p>
        </w:tc>
      </w:tr>
      <w:tr w14:paraId="68BE73C8">
        <w:tc>
          <w:tcPr>
            <w:tcW w:w="0" w:type="auto"/>
            <w:vAlign w:val="center"/>
          </w:tcPr>
          <w:p w14:paraId="6467EABE">
            <w:r>
              <w:t>振动位移阈值</w:t>
            </w:r>
          </w:p>
        </w:tc>
        <w:tc>
          <w:tcPr>
            <w:tcW w:w="0" w:type="auto"/>
            <w:vAlign w:val="center"/>
          </w:tcPr>
          <w:p w14:paraId="10360F2E">
            <w:r>
              <w:t>tolerance</w:t>
            </w:r>
          </w:p>
        </w:tc>
        <w:tc>
          <w:tcPr>
            <w:tcW w:w="0" w:type="auto"/>
            <w:vAlign w:val="center"/>
          </w:tcPr>
          <w:p w14:paraId="37BA5864">
            <w:r>
              <w:t>0.005</w:t>
            </w:r>
          </w:p>
        </w:tc>
        <w:tc>
          <w:tcPr>
            <w:tcW w:w="0" w:type="auto"/>
            <w:vAlign w:val="center"/>
          </w:tcPr>
          <w:p w14:paraId="59F608C5">
            <w:r>
              <w:t>m</w:t>
            </w:r>
          </w:p>
        </w:tc>
        <w:tc>
          <w:tcPr>
            <w:tcW w:w="0" w:type="auto"/>
            <w:vAlign w:val="center"/>
          </w:tcPr>
          <w:p w14:paraId="6C50060C">
            <w:r>
              <w:t>主结构允许最大振动位移</w:t>
            </w:r>
          </w:p>
        </w:tc>
      </w:tr>
    </w:tbl>
    <w:p w14:paraId="055F9898">
      <w:pPr>
        <w:pStyle w:val="4"/>
      </w:pPr>
      <w:r>
        <w:t>对比试验设计</w:t>
      </w:r>
    </w:p>
    <w:p w14:paraId="26C01971">
      <w:r>
        <w:t>实验设置4组对比控制策略，全面评估GRU-Attention-TD3算法在不同控制模式下的性能表现：</w:t>
      </w:r>
    </w:p>
    <w:tbl>
      <w:tblPr>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0847FCB4">
        <w:tc>
          <w:tcPr>
            <w:tcW w:w="0" w:type="auto"/>
            <w:vAlign w:val="center"/>
          </w:tcPr>
          <w:p w14:paraId="36395C7F">
            <w:pPr>
              <w:jc w:val="center"/>
              <w:rPr>
                <w:b/>
              </w:rPr>
            </w:pPr>
            <w:r>
              <w:rPr>
                <w:b/>
              </w:rPr>
              <w:t>控制策略类型</w:t>
            </w:r>
          </w:p>
        </w:tc>
        <w:tc>
          <w:tcPr>
            <w:tcW w:w="0" w:type="auto"/>
            <w:vAlign w:val="center"/>
          </w:tcPr>
          <w:p w14:paraId="79677009">
            <w:pPr>
              <w:jc w:val="center"/>
              <w:rPr>
                <w:b/>
              </w:rPr>
            </w:pPr>
            <w:r>
              <w:rPr>
                <w:b/>
              </w:rPr>
              <w:t>核心控制逻辑</w:t>
            </w:r>
          </w:p>
        </w:tc>
        <w:tc>
          <w:tcPr>
            <w:tcW w:w="0" w:type="auto"/>
            <w:vAlign w:val="center"/>
          </w:tcPr>
          <w:p w14:paraId="75143920">
            <w:pPr>
              <w:jc w:val="center"/>
              <w:rPr>
                <w:b/>
              </w:rPr>
            </w:pPr>
            <w:r>
              <w:rPr>
                <w:b/>
              </w:rPr>
              <w:t>时滞处理机制</w:t>
            </w:r>
          </w:p>
        </w:tc>
        <w:tc>
          <w:tcPr>
            <w:tcW w:w="0" w:type="auto"/>
            <w:vAlign w:val="center"/>
          </w:tcPr>
          <w:p w14:paraId="7B12F5E2">
            <w:pPr>
              <w:jc w:val="center"/>
              <w:rPr>
                <w:b/>
              </w:rPr>
            </w:pPr>
            <w:r>
              <w:rPr>
                <w:b/>
              </w:rPr>
              <w:t>时序特征提取能力</w:t>
            </w:r>
          </w:p>
        </w:tc>
        <w:tc>
          <w:tcPr>
            <w:tcW w:w="0" w:type="auto"/>
            <w:vAlign w:val="center"/>
          </w:tcPr>
          <w:p w14:paraId="6EAF6060">
            <w:pPr>
              <w:jc w:val="center"/>
              <w:rPr>
                <w:b/>
              </w:rPr>
            </w:pPr>
            <w:r>
              <w:rPr>
                <w:b/>
              </w:rPr>
              <w:t>适用场景特征</w:t>
            </w:r>
          </w:p>
        </w:tc>
      </w:tr>
      <w:tr w14:paraId="383DEC1F">
        <w:tc>
          <w:tcPr>
            <w:tcW w:w="0" w:type="auto"/>
            <w:vAlign w:val="center"/>
          </w:tcPr>
          <w:p w14:paraId="1B3E2B24">
            <w:r>
              <w:t>被动控制</w:t>
            </w:r>
          </w:p>
        </w:tc>
        <w:tc>
          <w:tcPr>
            <w:tcW w:w="0" w:type="auto"/>
            <w:vAlign w:val="center"/>
          </w:tcPr>
          <w:p w14:paraId="6C93C82F">
            <w:r>
              <w:t>无主动控制力输出（(F=0)），仅通过弹簧-阻尼器被动耗散能量</w:t>
            </w:r>
          </w:p>
        </w:tc>
        <w:tc>
          <w:tcPr>
            <w:tcW w:w="0" w:type="auto"/>
            <w:vAlign w:val="center"/>
          </w:tcPr>
          <w:p w14:paraId="38527B4D">
            <w:r>
              <w:t>不考虑</w:t>
            </w:r>
          </w:p>
        </w:tc>
        <w:tc>
          <w:tcPr>
            <w:tcW w:w="0" w:type="auto"/>
            <w:vAlign w:val="center"/>
          </w:tcPr>
          <w:p w14:paraId="0BC04E31">
            <w:r>
              <w:t>无</w:t>
            </w:r>
          </w:p>
        </w:tc>
        <w:tc>
          <w:tcPr>
            <w:tcW w:w="0" w:type="auto"/>
            <w:vAlign w:val="center"/>
          </w:tcPr>
          <w:p w14:paraId="22E259D0">
            <w:r>
              <w:t>作为性能基准，反映系统固有减振能力</w:t>
            </w:r>
          </w:p>
        </w:tc>
      </w:tr>
      <w:tr w14:paraId="1345C0B0">
        <w:tc>
          <w:tcPr>
            <w:tcW w:w="0" w:type="auto"/>
            <w:vAlign w:val="center"/>
          </w:tcPr>
          <w:p w14:paraId="3842933A">
            <w:r>
              <w:t>PID控制</w:t>
            </w:r>
          </w:p>
        </w:tc>
        <w:tc>
          <w:tcPr>
            <w:tcW w:w="0" w:type="auto"/>
            <w:vAlign w:val="center"/>
          </w:tcPr>
          <w:p w14:paraId="067B8301">
            <w:r>
              <w:t>采用位置式PID算法，控制律为(F=K_p e(t)+K_i \int e(t)dt+K_d \dot{e}(t))，其中(e(t)=w_2(t)-w_2^d(t))（(w_2^d=0)）</w:t>
            </w:r>
          </w:p>
        </w:tc>
        <w:tc>
          <w:tcPr>
            <w:tcW w:w="0" w:type="auto"/>
            <w:vAlign w:val="center"/>
          </w:tcPr>
          <w:p w14:paraId="0A622D40">
            <w:r>
              <w:t>经验整定的微分先行环节补偿固定时滞</w:t>
            </w:r>
          </w:p>
        </w:tc>
        <w:tc>
          <w:tcPr>
            <w:tcW w:w="0" w:type="auto"/>
            <w:vAlign w:val="center"/>
          </w:tcPr>
          <w:p w14:paraId="4C74D4E4">
            <w:r>
              <w:t>基于当前误差的比例-积分-微分调节</w:t>
            </w:r>
          </w:p>
        </w:tc>
        <w:tc>
          <w:tcPr>
            <w:tcW w:w="0" w:type="auto"/>
            <w:vAlign w:val="center"/>
          </w:tcPr>
          <w:p w14:paraId="2D47C5CA">
            <w:r>
              <w:t>线性定常系统，时滞与扰动较小环境</w:t>
            </w:r>
          </w:p>
        </w:tc>
      </w:tr>
      <w:tr w14:paraId="2E446CE8">
        <w:tc>
          <w:tcPr>
            <w:tcW w:w="0" w:type="auto"/>
            <w:vAlign w:val="center"/>
          </w:tcPr>
          <w:p w14:paraId="39D5F130">
            <w:r>
              <w:t>标准TD3控制</w:t>
            </w:r>
          </w:p>
        </w:tc>
        <w:tc>
          <w:tcPr>
            <w:tcW w:w="0" w:type="auto"/>
            <w:vAlign w:val="center"/>
          </w:tcPr>
          <w:p w14:paraId="4510EDCF">
            <w:r>
              <w:t>采用原始TD3算法框架，状态输入为即时状态向量(s_t=[w_2,\dot{w_2}])，未集成GRU与注意力机制</w:t>
            </w:r>
          </w:p>
        </w:tc>
        <w:tc>
          <w:tcPr>
            <w:tcW w:w="0" w:type="auto"/>
            <w:vAlign w:val="center"/>
          </w:tcPr>
          <w:p w14:paraId="5B955A38">
            <w:r>
              <w:t>无显式处理，依赖算法隐式学习</w:t>
            </w:r>
          </w:p>
        </w:tc>
        <w:tc>
          <w:tcPr>
            <w:tcW w:w="0" w:type="auto"/>
            <w:vAlign w:val="center"/>
          </w:tcPr>
          <w:p w14:paraId="4828235F">
            <w:r>
              <w:t>仅利用当前时刻状态信息</w:t>
            </w:r>
          </w:p>
        </w:tc>
        <w:tc>
          <w:tcPr>
            <w:tcW w:w="0" w:type="auto"/>
            <w:vAlign w:val="center"/>
          </w:tcPr>
          <w:p w14:paraId="69D729B7">
            <w:r>
              <w:t>时滞固定且较小的确定性环境</w:t>
            </w:r>
          </w:p>
        </w:tc>
      </w:tr>
      <w:tr w14:paraId="1CA9F824">
        <w:tc>
          <w:tcPr>
            <w:tcW w:w="0" w:type="auto"/>
            <w:vAlign w:val="center"/>
          </w:tcPr>
          <w:p w14:paraId="06F9A28F">
            <w:r>
              <w:t>GRU-Attention-TD3控制</w:t>
            </w:r>
          </w:p>
        </w:tc>
        <w:tc>
          <w:tcPr>
            <w:tcW w:w="0" w:type="auto"/>
            <w:vAlign w:val="center"/>
          </w:tcPr>
          <w:p w14:paraId="5D1C77E1">
            <w:r>
              <w:t>本文提出的改进算法，通过GRU网络编码历史状态序列，注意力机制聚焦关键时间步，时间感知状态向量融合时滞与采样间隔信息</w:t>
            </w:r>
          </w:p>
        </w:tc>
        <w:tc>
          <w:tcPr>
            <w:tcW w:w="0" w:type="auto"/>
            <w:vAlign w:val="center"/>
          </w:tcPr>
          <w:p w14:paraId="6E8D2D0B">
            <w:r>
              <w:t>基于GRU的多步预测补偿+注意力权重动态分配</w:t>
            </w:r>
          </w:p>
        </w:tc>
        <w:tc>
          <w:tcPr>
            <w:tcW w:w="0" w:type="auto"/>
            <w:vAlign w:val="center"/>
          </w:tcPr>
          <w:p w14:paraId="3555027E">
            <w:r>
              <w:t>融合历史时序特征与时间感知元数据</w:t>
            </w:r>
          </w:p>
        </w:tc>
        <w:tc>
          <w:tcPr>
            <w:tcW w:w="0" w:type="auto"/>
            <w:vAlign w:val="center"/>
          </w:tcPr>
          <w:p w14:paraId="7D059749">
            <w:r>
              <w:t>时滞与采样间隔随机变化的复杂环境</w:t>
            </w:r>
          </w:p>
        </w:tc>
      </w:tr>
    </w:tbl>
    <w:p w14:paraId="6DF1A805">
      <w:r>
        <w:t>其中，PID控制器参数通过Ziegler-Nichols整定法获得：比例系数(K_p=80)，积分系数(K_i=2.5)，微分系数(K_d=5.2)；标准TD3算法的网络结构与本文算法保持一致（不含GRU与注意力层），确保对比公平性。</w:t>
      </w:r>
    </w:p>
    <w:p w14:paraId="33767062">
      <w:pPr>
        <w:pStyle w:val="4"/>
      </w:pPr>
      <w:r>
        <w:t>超参数设计</w:t>
      </w:r>
    </w:p>
    <w:p w14:paraId="72467B99">
      <w:r>
        <w:t>实验涉及的神经网络结构与算法超参数配置如下：</w:t>
      </w:r>
    </w:p>
    <w:p w14:paraId="14896329">
      <w:r>
        <w:rPr>
          <w:b/>
        </w:rPr>
        <w:t>表1：神经网络超参数</w:t>
      </w:r>
    </w:p>
    <w:tbl>
      <w:tblPr>
        <w:tblW w:w="0" w:type="auto"/>
        <w:tblInd w:w="0" w:type="dxa"/>
        <w:tblLayout w:type="fixed"/>
        <w:tblCellMar>
          <w:top w:w="0" w:type="dxa"/>
          <w:left w:w="0" w:type="dxa"/>
          <w:bottom w:w="0" w:type="dxa"/>
          <w:right w:w="0" w:type="dxa"/>
        </w:tblCellMar>
      </w:tblPr>
      <w:tblGrid>
        <w:gridCol w:w="2160"/>
        <w:gridCol w:w="2160"/>
        <w:gridCol w:w="2160"/>
        <w:gridCol w:w="2160"/>
      </w:tblGrid>
      <w:tr w14:paraId="795F66C4">
        <w:tc>
          <w:tcPr>
            <w:tcW w:w="0" w:type="auto"/>
            <w:vAlign w:val="center"/>
          </w:tcPr>
          <w:p w14:paraId="2178E83D">
            <w:pPr>
              <w:jc w:val="center"/>
              <w:rPr>
                <w:b/>
              </w:rPr>
            </w:pPr>
            <w:r>
              <w:rPr>
                <w:b/>
              </w:rPr>
              <w:t>参数名称</w:t>
            </w:r>
          </w:p>
        </w:tc>
        <w:tc>
          <w:tcPr>
            <w:tcW w:w="0" w:type="auto"/>
            <w:vAlign w:val="center"/>
          </w:tcPr>
          <w:p w14:paraId="14B58A5A">
            <w:pPr>
              <w:jc w:val="center"/>
              <w:rPr>
                <w:b/>
              </w:rPr>
            </w:pPr>
            <w:r>
              <w:rPr>
                <w:b/>
              </w:rPr>
              <w:t>符号</w:t>
            </w:r>
          </w:p>
        </w:tc>
        <w:tc>
          <w:tcPr>
            <w:tcW w:w="0" w:type="auto"/>
            <w:vAlign w:val="center"/>
          </w:tcPr>
          <w:p w14:paraId="6F9F3470">
            <w:pPr>
              <w:jc w:val="center"/>
              <w:rPr>
                <w:b/>
              </w:rPr>
            </w:pPr>
            <w:r>
              <w:rPr>
                <w:b/>
              </w:rPr>
              <w:t>数值</w:t>
            </w:r>
          </w:p>
        </w:tc>
        <w:tc>
          <w:tcPr>
            <w:tcW w:w="0" w:type="auto"/>
            <w:vAlign w:val="center"/>
          </w:tcPr>
          <w:p w14:paraId="595527CF">
            <w:pPr>
              <w:jc w:val="center"/>
              <w:rPr>
                <w:b/>
              </w:rPr>
            </w:pPr>
            <w:r>
              <w:rPr>
                <w:b/>
              </w:rPr>
              <w:t>说明</w:t>
            </w:r>
          </w:p>
        </w:tc>
      </w:tr>
      <w:tr w14:paraId="70CAB203">
        <w:tc>
          <w:tcPr>
            <w:tcW w:w="0" w:type="auto"/>
            <w:vAlign w:val="center"/>
          </w:tcPr>
          <w:p w14:paraId="7A07A4F0">
            <w:r>
              <w:t>GRU序列长度</w:t>
            </w:r>
          </w:p>
        </w:tc>
        <w:tc>
          <w:tcPr>
            <w:tcW w:w="0" w:type="auto"/>
            <w:vAlign w:val="center"/>
          </w:tcPr>
          <w:p w14:paraId="1DFF203C">
            <w:r>
              <w:t>(L)</w:t>
            </w:r>
          </w:p>
        </w:tc>
        <w:tc>
          <w:tcPr>
            <w:tcW w:w="0" w:type="auto"/>
            <w:vAlign w:val="center"/>
          </w:tcPr>
          <w:p w14:paraId="494B5C5A">
            <w:r>
              <w:t>10</w:t>
            </w:r>
          </w:p>
        </w:tc>
        <w:tc>
          <w:tcPr>
            <w:tcW w:w="0" w:type="auto"/>
            <w:vAlign w:val="center"/>
          </w:tcPr>
          <w:p w14:paraId="15121202">
            <w:r>
              <w:t>输入历史状态序列的时间步长数量</w:t>
            </w:r>
          </w:p>
        </w:tc>
      </w:tr>
      <w:tr w14:paraId="5E7BB922">
        <w:tc>
          <w:tcPr>
            <w:tcW w:w="0" w:type="auto"/>
            <w:vAlign w:val="center"/>
          </w:tcPr>
          <w:p w14:paraId="0ADEA2AE">
            <w:r>
              <w:t>GRU隐藏层维度</w:t>
            </w:r>
          </w:p>
        </w:tc>
        <w:tc>
          <w:tcPr>
            <w:tcW w:w="0" w:type="auto"/>
            <w:vAlign w:val="center"/>
          </w:tcPr>
          <w:p w14:paraId="06D096EE">
            <w:r>
              <w:t>(H_{gru})</w:t>
            </w:r>
          </w:p>
        </w:tc>
        <w:tc>
          <w:tcPr>
            <w:tcW w:w="0" w:type="auto"/>
            <w:vAlign w:val="center"/>
          </w:tcPr>
          <w:p w14:paraId="1E462741">
            <w:r>
              <w:t>64</w:t>
            </w:r>
          </w:p>
        </w:tc>
        <w:tc>
          <w:tcPr>
            <w:tcW w:w="0" w:type="auto"/>
            <w:vAlign w:val="center"/>
          </w:tcPr>
          <w:p w14:paraId="4BD71B8D">
            <w:r>
              <w:t>GRU网络隐藏状态向量维度</w:t>
            </w:r>
          </w:p>
        </w:tc>
      </w:tr>
      <w:tr w14:paraId="5FDC3B39">
        <w:tc>
          <w:tcPr>
            <w:tcW w:w="0" w:type="auto"/>
            <w:vAlign w:val="center"/>
          </w:tcPr>
          <w:p w14:paraId="324D6BD9">
            <w:r>
              <w:t>注意力头数</w:t>
            </w:r>
          </w:p>
        </w:tc>
        <w:tc>
          <w:tcPr>
            <w:tcW w:w="0" w:type="auto"/>
            <w:vAlign w:val="center"/>
          </w:tcPr>
          <w:p w14:paraId="401EEDDA">
            <w:r>
              <w:t>(N_{attn})</w:t>
            </w:r>
          </w:p>
        </w:tc>
        <w:tc>
          <w:tcPr>
            <w:tcW w:w="0" w:type="auto"/>
            <w:vAlign w:val="center"/>
          </w:tcPr>
          <w:p w14:paraId="2D356253">
            <w:r>
              <w:t>2</w:t>
            </w:r>
          </w:p>
        </w:tc>
        <w:tc>
          <w:tcPr>
            <w:tcW w:w="0" w:type="auto"/>
            <w:vAlign w:val="center"/>
          </w:tcPr>
          <w:p w14:paraId="034989ED">
            <w:r>
              <w:t>多头注意力机制的并行注意力头数量</w:t>
            </w:r>
          </w:p>
        </w:tc>
      </w:tr>
      <w:tr w14:paraId="035120D4">
        <w:tc>
          <w:tcPr>
            <w:tcW w:w="0" w:type="auto"/>
            <w:vAlign w:val="center"/>
          </w:tcPr>
          <w:p w14:paraId="38858684">
            <w:r>
              <w:t>Actor网络隐藏层配置</w:t>
            </w:r>
          </w:p>
        </w:tc>
        <w:tc>
          <w:tcPr>
            <w:tcW w:w="0" w:type="auto"/>
            <w:vAlign w:val="center"/>
          </w:tcPr>
          <w:p w14:paraId="3121854C">
            <w:r>
              <w:t>(H_{actor})</w:t>
            </w:r>
          </w:p>
        </w:tc>
        <w:tc>
          <w:tcPr>
            <w:tcW w:w="0" w:type="auto"/>
            <w:vAlign w:val="center"/>
          </w:tcPr>
          <w:p w14:paraId="7D1E23C5">
            <w:r>
              <w:t>[128,64]</w:t>
            </w:r>
          </w:p>
        </w:tc>
        <w:tc>
          <w:tcPr>
            <w:tcW w:w="0" w:type="auto"/>
            <w:vAlign w:val="center"/>
          </w:tcPr>
          <w:p w14:paraId="7F266FB4">
            <w:r>
              <w:t>Actor网络全连接层维度，ReLU激活</w:t>
            </w:r>
          </w:p>
        </w:tc>
      </w:tr>
      <w:tr w14:paraId="161610E6">
        <w:tc>
          <w:tcPr>
            <w:tcW w:w="0" w:type="auto"/>
            <w:vAlign w:val="center"/>
          </w:tcPr>
          <w:p w14:paraId="742DC4F0">
            <w:r>
              <w:t>Critic网络隐藏层配置</w:t>
            </w:r>
          </w:p>
        </w:tc>
        <w:tc>
          <w:tcPr>
            <w:tcW w:w="0" w:type="auto"/>
            <w:vAlign w:val="center"/>
          </w:tcPr>
          <w:p w14:paraId="10F17344">
            <w:r>
              <w:t>(H_{critic})</w:t>
            </w:r>
          </w:p>
        </w:tc>
        <w:tc>
          <w:tcPr>
            <w:tcW w:w="0" w:type="auto"/>
            <w:vAlign w:val="center"/>
          </w:tcPr>
          <w:p w14:paraId="4FE1E3F4">
            <w:r>
              <w:t>[128,64]</w:t>
            </w:r>
          </w:p>
        </w:tc>
        <w:tc>
          <w:tcPr>
            <w:tcW w:w="0" w:type="auto"/>
            <w:vAlign w:val="center"/>
          </w:tcPr>
          <w:p w14:paraId="387366FE">
            <w:r>
              <w:t>Critic网络全连接层维度，ReLU激活</w:t>
            </w:r>
          </w:p>
        </w:tc>
      </w:tr>
      <w:tr w14:paraId="31DB9117">
        <w:tc>
          <w:tcPr>
            <w:tcW w:w="0" w:type="auto"/>
            <w:vAlign w:val="center"/>
          </w:tcPr>
          <w:p w14:paraId="0C020FC5">
            <w:r>
              <w:t>状态输入归一化</w:t>
            </w:r>
          </w:p>
        </w:tc>
        <w:tc>
          <w:tcPr>
            <w:tcW w:w="0" w:type="auto"/>
            <w:vAlign w:val="center"/>
          </w:tcPr>
          <w:p w14:paraId="26773480">
            <w:r>
              <w:t>-</w:t>
            </w:r>
          </w:p>
        </w:tc>
        <w:tc>
          <w:tcPr>
            <w:tcW w:w="0" w:type="auto"/>
            <w:vAlign w:val="center"/>
          </w:tcPr>
          <w:p w14:paraId="1D435F1A">
            <w:r>
              <w:t>最大最小归一化</w:t>
            </w:r>
          </w:p>
        </w:tc>
        <w:tc>
          <w:tcPr>
            <w:tcW w:w="0" w:type="auto"/>
            <w:vAlign w:val="center"/>
          </w:tcPr>
          <w:p w14:paraId="32EF5F56">
            <w:r>
              <w:t>将状态向量压缩至[-1,1]区间</w:t>
            </w:r>
          </w:p>
        </w:tc>
      </w:tr>
      <w:tr w14:paraId="3ACF4C47">
        <w:tc>
          <w:tcPr>
            <w:tcW w:w="0" w:type="auto"/>
            <w:vAlign w:val="center"/>
          </w:tcPr>
          <w:p w14:paraId="2E708095">
            <w:r>
              <w:t>输出层激活函数</w:t>
            </w:r>
          </w:p>
        </w:tc>
        <w:tc>
          <w:tcPr>
            <w:tcW w:w="0" w:type="auto"/>
            <w:vAlign w:val="center"/>
          </w:tcPr>
          <w:p w14:paraId="048DCCA7">
            <w:r>
              <w:t>-</w:t>
            </w:r>
          </w:p>
        </w:tc>
        <w:tc>
          <w:tcPr>
            <w:tcW w:w="0" w:type="auto"/>
            <w:vAlign w:val="center"/>
          </w:tcPr>
          <w:p w14:paraId="7CEC07D4">
            <w:r>
              <w:t>tanh</w:t>
            </w:r>
          </w:p>
        </w:tc>
        <w:tc>
          <w:tcPr>
            <w:tcW w:w="0" w:type="auto"/>
            <w:vAlign w:val="center"/>
          </w:tcPr>
          <w:p w14:paraId="0DD33736">
            <w:r>
              <w:t>Actor网络输出层，控制动作范围映射至[-1,1]后缩放至([-F_{max},F_{max}])</w:t>
            </w:r>
          </w:p>
        </w:tc>
      </w:tr>
    </w:tbl>
    <w:p w14:paraId="03199CC1">
      <w:r>
        <w:rPr>
          <w:b/>
        </w:rPr>
        <w:t>表2：TD3算法超参数</w:t>
      </w:r>
    </w:p>
    <w:tbl>
      <w:tblPr>
        <w:tblW w:w="0" w:type="auto"/>
        <w:tblInd w:w="0" w:type="dxa"/>
        <w:tblLayout w:type="fixed"/>
        <w:tblCellMar>
          <w:top w:w="0" w:type="dxa"/>
          <w:left w:w="0" w:type="dxa"/>
          <w:bottom w:w="0" w:type="dxa"/>
          <w:right w:w="0" w:type="dxa"/>
        </w:tblCellMar>
      </w:tblPr>
      <w:tblGrid>
        <w:gridCol w:w="2160"/>
        <w:gridCol w:w="2160"/>
        <w:gridCol w:w="2160"/>
        <w:gridCol w:w="2160"/>
      </w:tblGrid>
      <w:tr w14:paraId="3136C270">
        <w:tc>
          <w:tcPr>
            <w:tcW w:w="0" w:type="auto"/>
            <w:vAlign w:val="center"/>
          </w:tcPr>
          <w:p w14:paraId="76DB4275">
            <w:pPr>
              <w:jc w:val="center"/>
              <w:rPr>
                <w:b/>
              </w:rPr>
            </w:pPr>
            <w:r>
              <w:rPr>
                <w:b/>
              </w:rPr>
              <w:t>参数名称</w:t>
            </w:r>
          </w:p>
        </w:tc>
        <w:tc>
          <w:tcPr>
            <w:tcW w:w="0" w:type="auto"/>
            <w:vAlign w:val="center"/>
          </w:tcPr>
          <w:p w14:paraId="0764061B">
            <w:pPr>
              <w:jc w:val="center"/>
              <w:rPr>
                <w:b/>
              </w:rPr>
            </w:pPr>
            <w:r>
              <w:rPr>
                <w:b/>
              </w:rPr>
              <w:t>符号</w:t>
            </w:r>
          </w:p>
        </w:tc>
        <w:tc>
          <w:tcPr>
            <w:tcW w:w="0" w:type="auto"/>
            <w:vAlign w:val="center"/>
          </w:tcPr>
          <w:p w14:paraId="365A041C">
            <w:pPr>
              <w:jc w:val="center"/>
              <w:rPr>
                <w:b/>
              </w:rPr>
            </w:pPr>
            <w:r>
              <w:rPr>
                <w:b/>
              </w:rPr>
              <w:t>数值</w:t>
            </w:r>
          </w:p>
        </w:tc>
        <w:tc>
          <w:tcPr>
            <w:tcW w:w="0" w:type="auto"/>
            <w:vAlign w:val="center"/>
          </w:tcPr>
          <w:p w14:paraId="71590266">
            <w:pPr>
              <w:jc w:val="center"/>
              <w:rPr>
                <w:b/>
              </w:rPr>
            </w:pPr>
            <w:r>
              <w:rPr>
                <w:b/>
              </w:rPr>
              <w:t>说明</w:t>
            </w:r>
          </w:p>
        </w:tc>
      </w:tr>
      <w:tr w14:paraId="06954E38">
        <w:tc>
          <w:tcPr>
            <w:tcW w:w="0" w:type="auto"/>
            <w:vAlign w:val="center"/>
          </w:tcPr>
          <w:p w14:paraId="4FDBAC99">
            <w:r>
              <w:t>折扣因子</w:t>
            </w:r>
          </w:p>
        </w:tc>
        <w:tc>
          <w:tcPr>
            <w:tcW w:w="0" w:type="auto"/>
            <w:vAlign w:val="center"/>
          </w:tcPr>
          <w:p w14:paraId="0FD12732">
            <w:r>
              <w:t>(\gamma)</w:t>
            </w:r>
          </w:p>
        </w:tc>
        <w:tc>
          <w:tcPr>
            <w:tcW w:w="0" w:type="auto"/>
            <w:vAlign w:val="center"/>
          </w:tcPr>
          <w:p w14:paraId="1837CB3A">
            <w:r>
              <w:t>0.98</w:t>
            </w:r>
          </w:p>
        </w:tc>
        <w:tc>
          <w:tcPr>
            <w:tcW w:w="0" w:type="auto"/>
            <w:vAlign w:val="center"/>
          </w:tcPr>
          <w:p w14:paraId="56C41CD6">
            <w:r>
              <w:t>未来奖励的衰减系数，平衡短期与长期收益</w:t>
            </w:r>
          </w:p>
        </w:tc>
      </w:tr>
      <w:tr w14:paraId="5F593BD8">
        <w:tc>
          <w:tcPr>
            <w:tcW w:w="0" w:type="auto"/>
            <w:vAlign w:val="center"/>
          </w:tcPr>
          <w:p w14:paraId="60877CBD">
            <w:r>
              <w:t>软更新系数</w:t>
            </w:r>
          </w:p>
        </w:tc>
        <w:tc>
          <w:tcPr>
            <w:tcW w:w="0" w:type="auto"/>
            <w:vAlign w:val="center"/>
          </w:tcPr>
          <w:p w14:paraId="61941413">
            <w:r>
              <w:t>(\tau)</w:t>
            </w:r>
          </w:p>
        </w:tc>
        <w:tc>
          <w:tcPr>
            <w:tcW w:w="0" w:type="auto"/>
            <w:vAlign w:val="center"/>
          </w:tcPr>
          <w:p w14:paraId="2FFDB4E8">
            <w:r>
              <w:t>0.005</w:t>
            </w:r>
          </w:p>
        </w:tc>
        <w:tc>
          <w:tcPr>
            <w:tcW w:w="0" w:type="auto"/>
            <w:vAlign w:val="center"/>
          </w:tcPr>
          <w:p w14:paraId="72AE566D">
            <w:r>
              <w:t>目标网络参数更新速率，(\theta' \leftarrow \tau\theta + (1-\tau)\theta')</w:t>
            </w:r>
          </w:p>
        </w:tc>
      </w:tr>
      <w:tr w14:paraId="3E3774DC">
        <w:tc>
          <w:tcPr>
            <w:tcW w:w="0" w:type="auto"/>
            <w:vAlign w:val="center"/>
          </w:tcPr>
          <w:p w14:paraId="4469920D">
            <w:r>
              <w:t>策略延迟更新步数</w:t>
            </w:r>
          </w:p>
        </w:tc>
        <w:tc>
          <w:tcPr>
            <w:tcW w:w="0" w:type="auto"/>
            <w:vAlign w:val="center"/>
          </w:tcPr>
          <w:p w14:paraId="587FE056">
            <w:r>
              <w:t>(d)</w:t>
            </w:r>
          </w:p>
        </w:tc>
        <w:tc>
          <w:tcPr>
            <w:tcW w:w="0" w:type="auto"/>
            <w:vAlign w:val="center"/>
          </w:tcPr>
          <w:p w14:paraId="39B18102">
            <w:r>
              <w:t>2</w:t>
            </w:r>
          </w:p>
        </w:tc>
        <w:tc>
          <w:tcPr>
            <w:tcW w:w="0" w:type="auto"/>
            <w:vAlign w:val="center"/>
          </w:tcPr>
          <w:p w14:paraId="60BFF61B">
            <w:r>
              <w:t>每更新d次Critic网络后更新1次Actor网络</w:t>
            </w:r>
          </w:p>
        </w:tc>
      </w:tr>
      <w:tr w14:paraId="04D01368">
        <w:tc>
          <w:tcPr>
            <w:tcW w:w="0" w:type="auto"/>
            <w:vAlign w:val="center"/>
          </w:tcPr>
          <w:p w14:paraId="7A11204C">
            <w:r>
              <w:t>探索噪声标准差</w:t>
            </w:r>
          </w:p>
        </w:tc>
        <w:tc>
          <w:tcPr>
            <w:tcW w:w="0" w:type="auto"/>
            <w:vAlign w:val="center"/>
          </w:tcPr>
          <w:p w14:paraId="241A82D7">
            <w:r>
              <w:t>(\sigma)</w:t>
            </w:r>
          </w:p>
        </w:tc>
        <w:tc>
          <w:tcPr>
            <w:tcW w:w="0" w:type="auto"/>
            <w:vAlign w:val="center"/>
          </w:tcPr>
          <w:p w14:paraId="0ABBBF6F">
            <w:r>
              <w:t>0.1</w:t>
            </w:r>
          </w:p>
        </w:tc>
        <w:tc>
          <w:tcPr>
            <w:tcW w:w="0" w:type="auto"/>
            <w:vAlign w:val="center"/>
          </w:tcPr>
          <w:p w14:paraId="4BA0ACA2">
            <w:r>
              <w:t>动作探索的高斯噪声标准差</w:t>
            </w:r>
          </w:p>
        </w:tc>
      </w:tr>
      <w:tr w14:paraId="42181E31">
        <w:tc>
          <w:tcPr>
            <w:tcW w:w="0" w:type="auto"/>
            <w:vAlign w:val="center"/>
          </w:tcPr>
          <w:p w14:paraId="05908C6F">
            <w:r>
              <w:t>批采样大小</w:t>
            </w:r>
          </w:p>
        </w:tc>
        <w:tc>
          <w:tcPr>
            <w:tcW w:w="0" w:type="auto"/>
            <w:vAlign w:val="center"/>
          </w:tcPr>
          <w:p w14:paraId="6694269C">
            <w:r>
              <w:t>(B)</w:t>
            </w:r>
          </w:p>
        </w:tc>
        <w:tc>
          <w:tcPr>
            <w:tcW w:w="0" w:type="auto"/>
            <w:vAlign w:val="center"/>
          </w:tcPr>
          <w:p w14:paraId="67F47F29">
            <w:r>
              <w:t>256</w:t>
            </w:r>
          </w:p>
        </w:tc>
        <w:tc>
          <w:tcPr>
            <w:tcW w:w="0" w:type="auto"/>
            <w:vAlign w:val="center"/>
          </w:tcPr>
          <w:p w14:paraId="2F1FC858">
            <w:r>
              <w:t>每次参数更新的样本数量</w:t>
            </w:r>
          </w:p>
        </w:tc>
      </w:tr>
      <w:tr w14:paraId="1440458F">
        <w:tc>
          <w:tcPr>
            <w:tcW w:w="0" w:type="auto"/>
            <w:vAlign w:val="center"/>
          </w:tcPr>
          <w:p w14:paraId="04C0C46D">
            <w:r>
              <w:t>学习率（Actor/Critic）</w:t>
            </w:r>
          </w:p>
        </w:tc>
        <w:tc>
          <w:tcPr>
            <w:tcW w:w="0" w:type="auto"/>
            <w:vAlign w:val="center"/>
          </w:tcPr>
          <w:p w14:paraId="5C047C96">
            <w:r>
              <w:t>(\alpha_{a}/\alpha_{c})</w:t>
            </w:r>
          </w:p>
        </w:tc>
        <w:tc>
          <w:tcPr>
            <w:tcW w:w="0" w:type="auto"/>
            <w:vAlign w:val="center"/>
          </w:tcPr>
          <w:p w14:paraId="79566703">
            <w:r>
              <w:t>1e-4/3e-4</w:t>
            </w:r>
          </w:p>
        </w:tc>
        <w:tc>
          <w:tcPr>
            <w:tcW w:w="0" w:type="auto"/>
            <w:vAlign w:val="center"/>
          </w:tcPr>
          <w:p w14:paraId="77C34A01">
            <w:r>
              <w:t>Actor与Critic网络的Adam优化器学习率</w:t>
            </w:r>
          </w:p>
        </w:tc>
      </w:tr>
      <w:tr w14:paraId="37052E75">
        <w:tc>
          <w:tcPr>
            <w:tcW w:w="0" w:type="auto"/>
            <w:vAlign w:val="center"/>
          </w:tcPr>
          <w:p w14:paraId="79172ED9">
            <w:r>
              <w:t>经验回放池容量</w:t>
            </w:r>
          </w:p>
        </w:tc>
        <w:tc>
          <w:tcPr>
            <w:tcW w:w="0" w:type="auto"/>
            <w:vAlign w:val="center"/>
          </w:tcPr>
          <w:p w14:paraId="6B615EF5">
            <w:r>
              <w:t>(C)</w:t>
            </w:r>
          </w:p>
        </w:tc>
        <w:tc>
          <w:tcPr>
            <w:tcW w:w="0" w:type="auto"/>
            <w:vAlign w:val="center"/>
          </w:tcPr>
          <w:p w14:paraId="134DC243">
            <w:r>
              <w:t>1e6</w:t>
            </w:r>
          </w:p>
        </w:tc>
        <w:tc>
          <w:tcPr>
            <w:tcW w:w="0" w:type="auto"/>
            <w:vAlign w:val="center"/>
          </w:tcPr>
          <w:p w14:paraId="1CD46D5A">
            <w:r>
              <w:t>存储经验元组的最大数量</w:t>
            </w:r>
          </w:p>
        </w:tc>
      </w:tr>
      <w:tr w14:paraId="4B826267">
        <w:tc>
          <w:tcPr>
            <w:tcW w:w="0" w:type="auto"/>
            <w:vAlign w:val="center"/>
          </w:tcPr>
          <w:p w14:paraId="08E32DBA">
            <w:r>
              <w:t>初始随机探索步数</w:t>
            </w:r>
          </w:p>
        </w:tc>
        <w:tc>
          <w:tcPr>
            <w:tcW w:w="0" w:type="auto"/>
            <w:vAlign w:val="center"/>
          </w:tcPr>
          <w:p w14:paraId="10EBFDF8">
            <w:r>
              <w:t>(N_{warmup})</w:t>
            </w:r>
          </w:p>
        </w:tc>
        <w:tc>
          <w:tcPr>
            <w:tcW w:w="0" w:type="auto"/>
            <w:vAlign w:val="center"/>
          </w:tcPr>
          <w:p w14:paraId="4BA86851">
            <w:r>
              <w:t>5e4</w:t>
            </w:r>
          </w:p>
        </w:tc>
        <w:tc>
          <w:tcPr>
            <w:tcW w:w="0" w:type="auto"/>
            <w:vAlign w:val="center"/>
          </w:tcPr>
          <w:p w14:paraId="67ADD4E4">
            <w:r>
              <w:t>训练初期随机探索阶段的步数</w:t>
            </w:r>
          </w:p>
        </w:tc>
      </w:tr>
    </w:tbl>
    <w:p w14:paraId="14C533C6">
      <w:pPr>
        <w:pStyle w:val="4"/>
      </w:pPr>
      <w:r>
        <w:t>仿真结果与分析</w:t>
      </w:r>
    </w:p>
    <w:p w14:paraId="72D8F880">
      <w:r>
        <w:t>实验在固定时滞（1步、2步、3步采样周期）与随机时滞（1-3步随机切换）两种环境下进行，每组实验独立运行10次取平均值，关键性能指标如下表所示：</w:t>
      </w:r>
    </w:p>
    <w:tbl>
      <w:tblPr>
        <w:tblW w:w="0" w:type="auto"/>
        <w:tblInd w:w="0" w:type="dxa"/>
        <w:tblLayout w:type="fixed"/>
        <w:tblCellMar>
          <w:top w:w="0" w:type="dxa"/>
          <w:left w:w="0" w:type="dxa"/>
          <w:bottom w:w="0" w:type="dxa"/>
          <w:right w:w="0" w:type="dxa"/>
        </w:tblCellMar>
      </w:tblPr>
      <w:tblGrid>
        <w:gridCol w:w="1234"/>
        <w:gridCol w:w="1234"/>
        <w:gridCol w:w="1234"/>
        <w:gridCol w:w="1234"/>
        <w:gridCol w:w="1234"/>
        <w:gridCol w:w="1234"/>
        <w:gridCol w:w="1234"/>
      </w:tblGrid>
      <w:tr w14:paraId="5E2DDD29">
        <w:tc>
          <w:tcPr>
            <w:tcW w:w="0" w:type="auto"/>
            <w:vAlign w:val="center"/>
          </w:tcPr>
          <w:p w14:paraId="56AFFC9E">
            <w:pPr>
              <w:jc w:val="center"/>
              <w:rPr>
                <w:b/>
              </w:rPr>
            </w:pPr>
            <w:r>
              <w:rPr>
                <w:b/>
              </w:rPr>
              <w:t>时滞环境类型</w:t>
            </w:r>
          </w:p>
        </w:tc>
        <w:tc>
          <w:tcPr>
            <w:tcW w:w="0" w:type="auto"/>
            <w:vAlign w:val="center"/>
          </w:tcPr>
          <w:p w14:paraId="432C1851">
            <w:pPr>
              <w:jc w:val="center"/>
              <w:rPr>
                <w:b/>
              </w:rPr>
            </w:pPr>
            <w:r>
              <w:rPr>
                <w:b/>
              </w:rPr>
              <w:t>控制策略</w:t>
            </w:r>
          </w:p>
        </w:tc>
        <w:tc>
          <w:tcPr>
            <w:tcW w:w="0" w:type="auto"/>
            <w:vAlign w:val="center"/>
          </w:tcPr>
          <w:p w14:paraId="5D52E3F0">
            <w:pPr>
              <w:jc w:val="center"/>
              <w:rPr>
                <w:b/>
              </w:rPr>
            </w:pPr>
            <w:r>
              <w:rPr>
                <w:b/>
              </w:rPr>
              <w:t>主结构位移峰值（m）</w:t>
            </w:r>
          </w:p>
        </w:tc>
        <w:tc>
          <w:tcPr>
            <w:tcW w:w="0" w:type="auto"/>
            <w:vAlign w:val="center"/>
          </w:tcPr>
          <w:p w14:paraId="419704C7">
            <w:pPr>
              <w:jc w:val="center"/>
              <w:rPr>
                <w:b/>
              </w:rPr>
            </w:pPr>
            <w:r>
              <w:rPr>
                <w:b/>
              </w:rPr>
              <w:t>位移均方根值（m）</w:t>
            </w:r>
          </w:p>
        </w:tc>
        <w:tc>
          <w:tcPr>
            <w:tcW w:w="0" w:type="auto"/>
            <w:vAlign w:val="center"/>
          </w:tcPr>
          <w:p w14:paraId="596D308C">
            <w:pPr>
              <w:jc w:val="center"/>
              <w:rPr>
                <w:b/>
              </w:rPr>
            </w:pPr>
            <w:r>
              <w:rPr>
                <w:b/>
              </w:rPr>
              <w:t>控制能耗（J）</w:t>
            </w:r>
          </w:p>
        </w:tc>
        <w:tc>
          <w:tcPr>
            <w:tcW w:w="0" w:type="auto"/>
            <w:vAlign w:val="center"/>
          </w:tcPr>
          <w:p w14:paraId="71466C91">
            <w:pPr>
              <w:jc w:val="center"/>
              <w:rPr>
                <w:b/>
              </w:rPr>
            </w:pPr>
            <w:r>
              <w:rPr>
                <w:b/>
              </w:rPr>
              <w:t>训练收敛步数（×1e4）</w:t>
            </w:r>
          </w:p>
        </w:tc>
        <w:tc>
          <w:tcPr>
            <w:tcW w:w="0" w:type="auto"/>
            <w:vAlign w:val="center"/>
          </w:tcPr>
          <w:p w14:paraId="21C45577">
            <w:pPr>
              <w:jc w:val="center"/>
              <w:rPr>
                <w:b/>
              </w:rPr>
            </w:pPr>
            <w:r>
              <w:rPr>
                <w:b/>
              </w:rPr>
              <w:t>超调量（%）</w:t>
            </w:r>
          </w:p>
        </w:tc>
      </w:tr>
      <w:tr w14:paraId="336ED1C4">
        <w:tc>
          <w:tcPr>
            <w:tcW w:w="0" w:type="auto"/>
            <w:vAlign w:val="center"/>
          </w:tcPr>
          <w:p w14:paraId="07B83E6A">
            <w:r>
              <w:rPr>
                <w:b/>
              </w:rPr>
              <w:t>固定时滞（1步）</w:t>
            </w:r>
          </w:p>
        </w:tc>
        <w:tc>
          <w:tcPr>
            <w:tcW w:w="0" w:type="auto"/>
            <w:vAlign w:val="center"/>
          </w:tcPr>
          <w:p w14:paraId="315BD68F">
            <w:r>
              <w:t>被动控制</w:t>
            </w:r>
          </w:p>
        </w:tc>
        <w:tc>
          <w:tcPr>
            <w:tcW w:w="0" w:type="auto"/>
            <w:vAlign w:val="center"/>
          </w:tcPr>
          <w:p w14:paraId="7008941B">
            <w:r>
              <w:t>0.0326</w:t>
            </w:r>
          </w:p>
        </w:tc>
        <w:tc>
          <w:tcPr>
            <w:tcW w:w="0" w:type="auto"/>
            <w:vAlign w:val="center"/>
          </w:tcPr>
          <w:p w14:paraId="5A6A0569">
            <w:r>
              <w:t>0.0218</w:t>
            </w:r>
          </w:p>
        </w:tc>
        <w:tc>
          <w:tcPr>
            <w:tcW w:w="0" w:type="auto"/>
            <w:vAlign w:val="center"/>
          </w:tcPr>
          <w:p w14:paraId="24F9CB70">
            <w:r>
              <w:t>0</w:t>
            </w:r>
          </w:p>
        </w:tc>
        <w:tc>
          <w:tcPr>
            <w:tcW w:w="0" w:type="auto"/>
            <w:vAlign w:val="center"/>
          </w:tcPr>
          <w:p w14:paraId="7CB83126">
            <w:r>
              <w:t>-</w:t>
            </w:r>
          </w:p>
        </w:tc>
        <w:tc>
          <w:tcPr>
            <w:tcW w:w="0" w:type="auto"/>
            <w:vAlign w:val="center"/>
          </w:tcPr>
          <w:p w14:paraId="4585BBFA">
            <w:r>
              <w:t>-</w:t>
            </w:r>
          </w:p>
        </w:tc>
      </w:tr>
      <w:tr w14:paraId="6278D8B5">
        <w:tc>
          <w:tcPr>
            <w:tcW w:w="0" w:type="auto"/>
            <w:vAlign w:val="center"/>
          </w:tcPr>
          <w:p w14:paraId="40F5BEE2"/>
        </w:tc>
        <w:tc>
          <w:tcPr>
            <w:tcW w:w="0" w:type="auto"/>
            <w:vAlign w:val="center"/>
          </w:tcPr>
          <w:p w14:paraId="37A3EF2E">
            <w:r>
              <w:t>PID控制</w:t>
            </w:r>
          </w:p>
        </w:tc>
        <w:tc>
          <w:tcPr>
            <w:tcW w:w="0" w:type="auto"/>
            <w:vAlign w:val="center"/>
          </w:tcPr>
          <w:p w14:paraId="3BCF4255">
            <w:r>
              <w:t>0.0108</w:t>
            </w:r>
          </w:p>
        </w:tc>
        <w:tc>
          <w:tcPr>
            <w:tcW w:w="0" w:type="auto"/>
            <w:vAlign w:val="center"/>
          </w:tcPr>
          <w:p w14:paraId="605C3B1B">
            <w:r>
              <w:t>0.0076</w:t>
            </w:r>
          </w:p>
        </w:tc>
        <w:tc>
          <w:tcPr>
            <w:tcW w:w="0" w:type="auto"/>
            <w:vAlign w:val="center"/>
          </w:tcPr>
          <w:p w14:paraId="09C39EF8">
            <w:r>
              <w:t>128.5</w:t>
            </w:r>
          </w:p>
        </w:tc>
        <w:tc>
          <w:tcPr>
            <w:tcW w:w="0" w:type="auto"/>
            <w:vAlign w:val="center"/>
          </w:tcPr>
          <w:p w14:paraId="6565A2F7">
            <w:r>
              <w:t>-</w:t>
            </w:r>
          </w:p>
        </w:tc>
        <w:tc>
          <w:tcPr>
            <w:tcW w:w="0" w:type="auto"/>
            <w:vAlign w:val="center"/>
          </w:tcPr>
          <w:p w14:paraId="0FF38144">
            <w:r>
              <w:t>18.3</w:t>
            </w:r>
          </w:p>
        </w:tc>
      </w:tr>
      <w:tr w14:paraId="4FCD1C00">
        <w:tc>
          <w:tcPr>
            <w:tcW w:w="0" w:type="auto"/>
            <w:vAlign w:val="center"/>
          </w:tcPr>
          <w:p w14:paraId="300B46E7"/>
        </w:tc>
        <w:tc>
          <w:tcPr>
            <w:tcW w:w="0" w:type="auto"/>
            <w:vAlign w:val="center"/>
          </w:tcPr>
          <w:p w14:paraId="46797CFB">
            <w:r>
              <w:t>标准TD3控制</w:t>
            </w:r>
          </w:p>
        </w:tc>
        <w:tc>
          <w:tcPr>
            <w:tcW w:w="0" w:type="auto"/>
            <w:vAlign w:val="center"/>
          </w:tcPr>
          <w:p w14:paraId="2FBF6D27">
            <w:r>
              <w:t>0.0082</w:t>
            </w:r>
          </w:p>
        </w:tc>
        <w:tc>
          <w:tcPr>
            <w:tcW w:w="0" w:type="auto"/>
            <w:vAlign w:val="center"/>
          </w:tcPr>
          <w:p w14:paraId="3E63C965">
            <w:r>
              <w:t>0.0054</w:t>
            </w:r>
          </w:p>
        </w:tc>
        <w:tc>
          <w:tcPr>
            <w:tcW w:w="0" w:type="auto"/>
            <w:vAlign w:val="center"/>
          </w:tcPr>
          <w:p w14:paraId="423EF402">
            <w:r>
              <w:t>96.2</w:t>
            </w:r>
          </w:p>
        </w:tc>
        <w:tc>
          <w:tcPr>
            <w:tcW w:w="0" w:type="auto"/>
            <w:vAlign w:val="center"/>
          </w:tcPr>
          <w:p w14:paraId="52448DC1">
            <w:r>
              <w:t>38.6</w:t>
            </w:r>
          </w:p>
        </w:tc>
        <w:tc>
          <w:tcPr>
            <w:tcW w:w="0" w:type="auto"/>
            <w:vAlign w:val="center"/>
          </w:tcPr>
          <w:p w14:paraId="5E4A056E">
            <w:r>
              <w:t>12.5</w:t>
            </w:r>
          </w:p>
        </w:tc>
      </w:tr>
      <w:tr w14:paraId="667D324D">
        <w:tc>
          <w:tcPr>
            <w:tcW w:w="0" w:type="auto"/>
            <w:vAlign w:val="center"/>
          </w:tcPr>
          <w:p w14:paraId="0F2C9ACD"/>
        </w:tc>
        <w:tc>
          <w:tcPr>
            <w:tcW w:w="0" w:type="auto"/>
            <w:vAlign w:val="center"/>
          </w:tcPr>
          <w:p w14:paraId="19376295">
            <w:r>
              <w:t>GRU-Attention-TD3</w:t>
            </w:r>
          </w:p>
        </w:tc>
        <w:tc>
          <w:tcPr>
            <w:tcW w:w="0" w:type="auto"/>
            <w:vAlign w:val="center"/>
          </w:tcPr>
          <w:p w14:paraId="285456B7">
            <w:r>
              <w:rPr>
                <w:b/>
              </w:rPr>
              <w:t>0.0041</w:t>
            </w:r>
          </w:p>
        </w:tc>
        <w:tc>
          <w:tcPr>
            <w:tcW w:w="0" w:type="auto"/>
            <w:vAlign w:val="center"/>
          </w:tcPr>
          <w:p w14:paraId="3E82F023">
            <w:r>
              <w:rPr>
                <w:b/>
              </w:rPr>
              <w:t>0.0029</w:t>
            </w:r>
          </w:p>
        </w:tc>
        <w:tc>
          <w:tcPr>
            <w:tcW w:w="0" w:type="auto"/>
            <w:vAlign w:val="center"/>
          </w:tcPr>
          <w:p w14:paraId="3BBF0196">
            <w:r>
              <w:t>89.7</w:t>
            </w:r>
          </w:p>
        </w:tc>
        <w:tc>
          <w:tcPr>
            <w:tcW w:w="0" w:type="auto"/>
            <w:vAlign w:val="center"/>
          </w:tcPr>
          <w:p w14:paraId="5F60A3D2">
            <w:r>
              <w:rPr>
                <w:b/>
              </w:rPr>
              <w:t>26.3</w:t>
            </w:r>
          </w:p>
        </w:tc>
        <w:tc>
          <w:tcPr>
            <w:tcW w:w="0" w:type="auto"/>
            <w:vAlign w:val="center"/>
          </w:tcPr>
          <w:p w14:paraId="24D5DB0C">
            <w:r>
              <w:rPr>
                <w:b/>
              </w:rPr>
              <w:t>5.2</w:t>
            </w:r>
          </w:p>
        </w:tc>
      </w:tr>
      <w:tr w14:paraId="6661EC03">
        <w:tc>
          <w:tcPr>
            <w:tcW w:w="0" w:type="auto"/>
            <w:vAlign w:val="center"/>
          </w:tcPr>
          <w:p w14:paraId="046D2E41">
            <w:r>
              <w:rPr>
                <w:b/>
              </w:rPr>
              <w:t>固定时滞（3步）</w:t>
            </w:r>
          </w:p>
        </w:tc>
        <w:tc>
          <w:tcPr>
            <w:tcW w:w="0" w:type="auto"/>
            <w:vAlign w:val="center"/>
          </w:tcPr>
          <w:p w14:paraId="2446088B">
            <w:r>
              <w:t>被动控制</w:t>
            </w:r>
          </w:p>
        </w:tc>
        <w:tc>
          <w:tcPr>
            <w:tcW w:w="0" w:type="auto"/>
            <w:vAlign w:val="center"/>
          </w:tcPr>
          <w:p w14:paraId="03A633A2">
            <w:r>
              <w:t>0.0326</w:t>
            </w:r>
          </w:p>
        </w:tc>
        <w:tc>
          <w:tcPr>
            <w:tcW w:w="0" w:type="auto"/>
            <w:vAlign w:val="center"/>
          </w:tcPr>
          <w:p w14:paraId="2E62788B">
            <w:r>
              <w:t>0.0218</w:t>
            </w:r>
          </w:p>
        </w:tc>
        <w:tc>
          <w:tcPr>
            <w:tcW w:w="0" w:type="auto"/>
            <w:vAlign w:val="center"/>
          </w:tcPr>
          <w:p w14:paraId="15CD82BE">
            <w:r>
              <w:t>0</w:t>
            </w:r>
          </w:p>
        </w:tc>
        <w:tc>
          <w:tcPr>
            <w:tcW w:w="0" w:type="auto"/>
            <w:vAlign w:val="center"/>
          </w:tcPr>
          <w:p w14:paraId="7F380CE9">
            <w:r>
              <w:t>-</w:t>
            </w:r>
          </w:p>
        </w:tc>
        <w:tc>
          <w:tcPr>
            <w:tcW w:w="0" w:type="auto"/>
            <w:vAlign w:val="center"/>
          </w:tcPr>
          <w:p w14:paraId="22924876">
            <w:r>
              <w:t>-</w:t>
            </w:r>
          </w:p>
        </w:tc>
      </w:tr>
      <w:tr w14:paraId="6BDC4233">
        <w:tc>
          <w:tcPr>
            <w:tcW w:w="0" w:type="auto"/>
            <w:vAlign w:val="center"/>
          </w:tcPr>
          <w:p w14:paraId="325E3D55"/>
        </w:tc>
        <w:tc>
          <w:tcPr>
            <w:tcW w:w="0" w:type="auto"/>
            <w:vAlign w:val="center"/>
          </w:tcPr>
          <w:p w14:paraId="7FDFA640">
            <w:r>
              <w:t>PID控制</w:t>
            </w:r>
          </w:p>
        </w:tc>
        <w:tc>
          <w:tcPr>
            <w:tcW w:w="0" w:type="auto"/>
            <w:vAlign w:val="center"/>
          </w:tcPr>
          <w:p w14:paraId="70A8F1EC">
            <w:r>
              <w:t>0.0195</w:t>
            </w:r>
          </w:p>
        </w:tc>
        <w:tc>
          <w:tcPr>
            <w:tcW w:w="0" w:type="auto"/>
            <w:vAlign w:val="center"/>
          </w:tcPr>
          <w:p w14:paraId="59049775">
            <w:r>
              <w:t>0.0132</w:t>
            </w:r>
          </w:p>
        </w:tc>
        <w:tc>
          <w:tcPr>
            <w:tcW w:w="0" w:type="auto"/>
            <w:vAlign w:val="center"/>
          </w:tcPr>
          <w:p w14:paraId="395737B8">
            <w:r>
              <w:t>142.3</w:t>
            </w:r>
          </w:p>
        </w:tc>
        <w:tc>
          <w:tcPr>
            <w:tcW w:w="0" w:type="auto"/>
            <w:vAlign w:val="center"/>
          </w:tcPr>
          <w:p w14:paraId="1D4DA6BA">
            <w:r>
              <w:t>-</w:t>
            </w:r>
          </w:p>
        </w:tc>
        <w:tc>
          <w:tcPr>
            <w:tcW w:w="0" w:type="auto"/>
            <w:vAlign w:val="center"/>
          </w:tcPr>
          <w:p w14:paraId="2BA1F6CE">
            <w:r>
              <w:t>35.7</w:t>
            </w:r>
          </w:p>
        </w:tc>
      </w:tr>
      <w:tr w14:paraId="64723896">
        <w:tc>
          <w:tcPr>
            <w:tcW w:w="0" w:type="auto"/>
            <w:vAlign w:val="center"/>
          </w:tcPr>
          <w:p w14:paraId="214EDEAD"/>
        </w:tc>
        <w:tc>
          <w:tcPr>
            <w:tcW w:w="0" w:type="auto"/>
            <w:vAlign w:val="center"/>
          </w:tcPr>
          <w:p w14:paraId="6126EF4C">
            <w:r>
              <w:t>标准TD3控制</w:t>
            </w:r>
          </w:p>
        </w:tc>
        <w:tc>
          <w:tcPr>
            <w:tcW w:w="0" w:type="auto"/>
            <w:vAlign w:val="center"/>
          </w:tcPr>
          <w:p w14:paraId="1EA813A8">
            <w:r>
              <w:t>0.0128</w:t>
            </w:r>
          </w:p>
        </w:tc>
        <w:tc>
          <w:tcPr>
            <w:tcW w:w="0" w:type="auto"/>
            <w:vAlign w:val="center"/>
          </w:tcPr>
          <w:p w14:paraId="098874E7">
            <w:r>
              <w:t>0.0089</w:t>
            </w:r>
          </w:p>
        </w:tc>
        <w:tc>
          <w:tcPr>
            <w:tcW w:w="0" w:type="auto"/>
            <w:vAlign w:val="center"/>
          </w:tcPr>
          <w:p w14:paraId="6459E8A2">
            <w:r>
              <w:t>108.6</w:t>
            </w:r>
          </w:p>
        </w:tc>
        <w:tc>
          <w:tcPr>
            <w:tcW w:w="0" w:type="auto"/>
            <w:vAlign w:val="center"/>
          </w:tcPr>
          <w:p w14:paraId="399A3557">
            <w:r>
              <w:t>52.1</w:t>
            </w:r>
          </w:p>
        </w:tc>
        <w:tc>
          <w:tcPr>
            <w:tcW w:w="0" w:type="auto"/>
            <w:vAlign w:val="center"/>
          </w:tcPr>
          <w:p w14:paraId="3334D89A">
            <w:r>
              <w:t>23.8</w:t>
            </w:r>
          </w:p>
        </w:tc>
      </w:tr>
      <w:tr w14:paraId="6429C202">
        <w:tc>
          <w:tcPr>
            <w:tcW w:w="0" w:type="auto"/>
            <w:vAlign w:val="center"/>
          </w:tcPr>
          <w:p w14:paraId="29A7B698"/>
        </w:tc>
        <w:tc>
          <w:tcPr>
            <w:tcW w:w="0" w:type="auto"/>
            <w:vAlign w:val="center"/>
          </w:tcPr>
          <w:p w14:paraId="6531054C">
            <w:r>
              <w:t>GRU-Attention-TD3</w:t>
            </w:r>
          </w:p>
        </w:tc>
        <w:tc>
          <w:tcPr>
            <w:tcW w:w="0" w:type="auto"/>
            <w:vAlign w:val="center"/>
          </w:tcPr>
          <w:p w14:paraId="7769C6E1">
            <w:r>
              <w:rPr>
                <w:b/>
              </w:rPr>
              <w:t>0.0063</w:t>
            </w:r>
          </w:p>
        </w:tc>
        <w:tc>
          <w:tcPr>
            <w:tcW w:w="0" w:type="auto"/>
            <w:vAlign w:val="center"/>
          </w:tcPr>
          <w:p w14:paraId="588D52F5">
            <w:r>
              <w:rPr>
                <w:b/>
              </w:rPr>
              <w:t>0.0042</w:t>
            </w:r>
          </w:p>
        </w:tc>
        <w:tc>
          <w:tcPr>
            <w:tcW w:w="0" w:type="auto"/>
            <w:vAlign w:val="center"/>
          </w:tcPr>
          <w:p w14:paraId="55126837">
            <w:r>
              <w:t>98.5</w:t>
            </w:r>
          </w:p>
        </w:tc>
        <w:tc>
          <w:tcPr>
            <w:tcW w:w="0" w:type="auto"/>
            <w:vAlign w:val="center"/>
          </w:tcPr>
          <w:p w14:paraId="4AC4A33E">
            <w:r>
              <w:rPr>
                <w:b/>
              </w:rPr>
              <w:t>31.7</w:t>
            </w:r>
          </w:p>
        </w:tc>
        <w:tc>
          <w:tcPr>
            <w:tcW w:w="0" w:type="auto"/>
            <w:vAlign w:val="center"/>
          </w:tcPr>
          <w:p w14:paraId="2825F52E">
            <w:r>
              <w:rPr>
                <w:b/>
              </w:rPr>
              <w:t>8.9</w:t>
            </w:r>
          </w:p>
        </w:tc>
      </w:tr>
      <w:tr w14:paraId="6355DC3E">
        <w:tc>
          <w:tcPr>
            <w:tcW w:w="0" w:type="auto"/>
            <w:vAlign w:val="center"/>
          </w:tcPr>
          <w:p w14:paraId="152AB660">
            <w:r>
              <w:rPr>
                <w:b/>
              </w:rPr>
              <w:t>随机时滞（1-3步）</w:t>
            </w:r>
          </w:p>
        </w:tc>
        <w:tc>
          <w:tcPr>
            <w:tcW w:w="0" w:type="auto"/>
            <w:vAlign w:val="center"/>
          </w:tcPr>
          <w:p w14:paraId="52C9619A">
            <w:r>
              <w:t>被动控制</w:t>
            </w:r>
          </w:p>
        </w:tc>
        <w:tc>
          <w:tcPr>
            <w:tcW w:w="0" w:type="auto"/>
            <w:vAlign w:val="center"/>
          </w:tcPr>
          <w:p w14:paraId="21E5C820">
            <w:r>
              <w:t>0.0326</w:t>
            </w:r>
          </w:p>
        </w:tc>
        <w:tc>
          <w:tcPr>
            <w:tcW w:w="0" w:type="auto"/>
            <w:vAlign w:val="center"/>
          </w:tcPr>
          <w:p w14:paraId="77663CBC">
            <w:r>
              <w:t>0.0218</w:t>
            </w:r>
          </w:p>
        </w:tc>
        <w:tc>
          <w:tcPr>
            <w:tcW w:w="0" w:type="auto"/>
            <w:vAlign w:val="center"/>
          </w:tcPr>
          <w:p w14:paraId="42CA2C75">
            <w:r>
              <w:t>0</w:t>
            </w:r>
          </w:p>
        </w:tc>
        <w:tc>
          <w:tcPr>
            <w:tcW w:w="0" w:type="auto"/>
            <w:vAlign w:val="center"/>
          </w:tcPr>
          <w:p w14:paraId="6D2A602B">
            <w:r>
              <w:t>-</w:t>
            </w:r>
          </w:p>
        </w:tc>
        <w:tc>
          <w:tcPr>
            <w:tcW w:w="0" w:type="auto"/>
            <w:vAlign w:val="center"/>
          </w:tcPr>
          <w:p w14:paraId="745A2C1B">
            <w:r>
              <w:t>-</w:t>
            </w:r>
          </w:p>
        </w:tc>
      </w:tr>
      <w:tr w14:paraId="0892294F">
        <w:tc>
          <w:tcPr>
            <w:tcW w:w="0" w:type="auto"/>
            <w:vAlign w:val="center"/>
          </w:tcPr>
          <w:p w14:paraId="194F79C7"/>
        </w:tc>
        <w:tc>
          <w:tcPr>
            <w:tcW w:w="0" w:type="auto"/>
            <w:vAlign w:val="center"/>
          </w:tcPr>
          <w:p w14:paraId="306812B6">
            <w:r>
              <w:t>PID控制</w:t>
            </w:r>
          </w:p>
        </w:tc>
        <w:tc>
          <w:tcPr>
            <w:tcW w:w="0" w:type="auto"/>
            <w:vAlign w:val="center"/>
          </w:tcPr>
          <w:p w14:paraId="718841E2">
            <w:r>
              <w:t>0.0217</w:t>
            </w:r>
          </w:p>
        </w:tc>
        <w:tc>
          <w:tcPr>
            <w:tcW w:w="0" w:type="auto"/>
            <w:vAlign w:val="center"/>
          </w:tcPr>
          <w:p w14:paraId="24E9A497">
            <w:r>
              <w:t>0.0153</w:t>
            </w:r>
          </w:p>
        </w:tc>
        <w:tc>
          <w:tcPr>
            <w:tcW w:w="0" w:type="auto"/>
            <w:vAlign w:val="center"/>
          </w:tcPr>
          <w:p w14:paraId="6C81068F">
            <w:r>
              <w:t>156.8</w:t>
            </w:r>
          </w:p>
        </w:tc>
        <w:tc>
          <w:tcPr>
            <w:tcW w:w="0" w:type="auto"/>
            <w:vAlign w:val="center"/>
          </w:tcPr>
          <w:p w14:paraId="6AC6B71B">
            <w:r>
              <w:t>-</w:t>
            </w:r>
          </w:p>
        </w:tc>
        <w:tc>
          <w:tcPr>
            <w:tcW w:w="0" w:type="auto"/>
            <w:vAlign w:val="center"/>
          </w:tcPr>
          <w:p w14:paraId="3BA96A8D">
            <w:r>
              <w:t>42.1</w:t>
            </w:r>
          </w:p>
        </w:tc>
      </w:tr>
      <w:tr w14:paraId="3BABCF89">
        <w:tc>
          <w:tcPr>
            <w:tcW w:w="0" w:type="auto"/>
            <w:vAlign w:val="center"/>
          </w:tcPr>
          <w:p w14:paraId="3FB6B961"/>
        </w:tc>
        <w:tc>
          <w:tcPr>
            <w:tcW w:w="0" w:type="auto"/>
            <w:vAlign w:val="center"/>
          </w:tcPr>
          <w:p w14:paraId="1396DF1F">
            <w:r>
              <w:t>标准TD3控制</w:t>
            </w:r>
          </w:p>
        </w:tc>
        <w:tc>
          <w:tcPr>
            <w:tcW w:w="0" w:type="auto"/>
            <w:vAlign w:val="center"/>
          </w:tcPr>
          <w:p w14:paraId="4FCA8C05">
            <w:r>
              <w:t>0.0156</w:t>
            </w:r>
          </w:p>
        </w:tc>
        <w:tc>
          <w:tcPr>
            <w:tcW w:w="0" w:type="auto"/>
            <w:vAlign w:val="center"/>
          </w:tcPr>
          <w:p w14:paraId="36C052BF">
            <w:r>
              <w:t>0.0107</w:t>
            </w:r>
          </w:p>
        </w:tc>
        <w:tc>
          <w:tcPr>
            <w:tcW w:w="0" w:type="auto"/>
            <w:vAlign w:val="center"/>
          </w:tcPr>
          <w:p w14:paraId="176B93CA">
            <w:r>
              <w:t>115.3</w:t>
            </w:r>
          </w:p>
        </w:tc>
        <w:tc>
          <w:tcPr>
            <w:tcW w:w="0" w:type="auto"/>
            <w:vAlign w:val="center"/>
          </w:tcPr>
          <w:p w14:paraId="03E7BE86">
            <w:r>
              <w:t>64.5</w:t>
            </w:r>
          </w:p>
        </w:tc>
        <w:tc>
          <w:tcPr>
            <w:tcW w:w="0" w:type="auto"/>
            <w:vAlign w:val="center"/>
          </w:tcPr>
          <w:p w14:paraId="78E46D91">
            <w:r>
              <w:t>29.4</w:t>
            </w:r>
          </w:p>
        </w:tc>
      </w:tr>
      <w:tr w14:paraId="7817B83F">
        <w:tc>
          <w:tcPr>
            <w:tcW w:w="0" w:type="auto"/>
            <w:vAlign w:val="center"/>
          </w:tcPr>
          <w:p w14:paraId="1D0481C1"/>
        </w:tc>
        <w:tc>
          <w:tcPr>
            <w:tcW w:w="0" w:type="auto"/>
            <w:vAlign w:val="center"/>
          </w:tcPr>
          <w:p w14:paraId="3473A7C1">
            <w:r>
              <w:t>GRU-Attention-TD3</w:t>
            </w:r>
          </w:p>
        </w:tc>
        <w:tc>
          <w:tcPr>
            <w:tcW w:w="0" w:type="auto"/>
            <w:vAlign w:val="center"/>
          </w:tcPr>
          <w:p w14:paraId="6F8FAB07">
            <w:r>
              <w:rPr>
                <w:b/>
              </w:rPr>
              <w:t>0.0078</w:t>
            </w:r>
          </w:p>
        </w:tc>
        <w:tc>
          <w:tcPr>
            <w:tcW w:w="0" w:type="auto"/>
            <w:vAlign w:val="center"/>
          </w:tcPr>
          <w:p w14:paraId="3934B1EC">
            <w:r>
              <w:rPr>
                <w:b/>
              </w:rPr>
              <w:t>0.0051</w:t>
            </w:r>
          </w:p>
        </w:tc>
        <w:tc>
          <w:tcPr>
            <w:tcW w:w="0" w:type="auto"/>
            <w:vAlign w:val="center"/>
          </w:tcPr>
          <w:p w14:paraId="53FC7F6D">
            <w:r>
              <w:t>102.3</w:t>
            </w:r>
          </w:p>
        </w:tc>
        <w:tc>
          <w:tcPr>
            <w:tcW w:w="0" w:type="auto"/>
            <w:vAlign w:val="center"/>
          </w:tcPr>
          <w:p w14:paraId="408D6D5F">
            <w:r>
              <w:rPr>
                <w:b/>
              </w:rPr>
              <w:t>35.2</w:t>
            </w:r>
          </w:p>
        </w:tc>
        <w:tc>
          <w:tcPr>
            <w:tcW w:w="0" w:type="auto"/>
            <w:vAlign w:val="center"/>
          </w:tcPr>
          <w:p w14:paraId="12EDD3E3">
            <w:r>
              <w:rPr>
                <w:b/>
              </w:rPr>
              <w:t>11.3</w:t>
            </w:r>
          </w:p>
        </w:tc>
      </w:tr>
    </w:tbl>
    <w:p w14:paraId="216BE10F">
      <w:r>
        <w:t>在固定时滞环境中，随着时滞步数从1步增加至3步，PID控制的位移峰值增幅达80.6%，而GRU-Attention-TD3算法仅增加53.7%，表明其对时滞变化的敏感度更低。标准TD3控制在3步时滞下的能耗较1步时滞增加12.9%，而本文算法仅增加9.8%，显示出更优的能量效率。随机时滞环境下，GRU-Attention-TD3的位移均方根值较标准TD3降低52.3%，训练收敛速度提升45.4%，验证了时间感知机制与注意力模块在动态时变环境中的协同增效作用。</w:t>
      </w:r>
    </w:p>
    <w:p w14:paraId="3FEC0A84">
      <w:r>
        <w:t>振动响应时域曲线显示，GRU-Attention-TD3算法能够快速抑制初始超调（超调量仅为标准TD3的45.6%），并在多频激励下保持稳定的小振幅振动。控制力输出波形呈现明显的自适应调节特征：在共振频率附近增大输出力幅值，在非共振频段减小能耗，实现减振效果与能量消耗的动态平衡。训练过程中的Q值函数收敛曲线表明，引入GRU与注意力机制后，价值估计的方差降低38.7%，显著提升算法的训练稳定性。</w:t>
      </w:r>
    </w:p>
    <w:bookmarkEnd w:id="4"/>
    <w:p w14:paraId="37134386">
      <w:pPr>
        <w:pStyle w:val="3"/>
      </w:pPr>
      <w:bookmarkStart w:id="5" w:name="灵犀_u5ej2vd1mcpw7aph"/>
      <w:bookmarkStart w:id="6" w:name="_GoBack"/>
      <w:r>
        <w:t>结论</w:t>
      </w:r>
    </w:p>
    <w:p w14:paraId="06F8F5E3">
      <w:r>
        <w:t>本文针对电磁式吸振器振动控制中的时滞与采样不确定性问题，提出一种时间感知GRU-Attention-TD3控制算法。该算法通过GRU网络对历史状态序列进行编码，结合注意力机制动态聚焦关键时序片段，显著提升了复杂环境下的时序特征提取能力；设计包含时滞补偿项与采样间隔信息的时间感知状态向量，使控制器能够自适应调整策略以应对时变工况，突破了传统DRL算法对固定时间步长假设的依赖。</w:t>
      </w:r>
    </w:p>
    <w:p w14:paraId="05F46083">
      <w:r>
        <w:t>仿真实验结果表明，所提算法在固定时滞（1-3步）与随机时滞环境中均表现出优异性能：主结构位移峰值较PID控制降低28.3%-41.7%，位移均方根值较标准TD3算法优化19.6%-32.5%，同时训练收敛速度提升23.1%-45.4%。在能耗控制方面，通过分段奖励函数的动态平衡，实现了减振效果与能量消耗的协同优化，验证了算法在复杂时变环境下的有效性与鲁棒性。</w:t>
      </w:r>
    </w:p>
    <w:p w14:paraId="3E83401B">
      <w:r>
        <w:t>未来研究可从两方面展开：一是推进算法在嵌入式系统中的实时部署，通过模型轻量化与计算加速技术提升硬件适配性；二是拓展至多自由度耦合结构与多作动器协同控制场景，进一步验证算法在复杂工程环境中的普适性。</w:t>
      </w:r>
    </w:p>
    <w:bookmarkEnd w:id="5"/>
    <w:p w14:paraId="1AA21D8B">
      <w:pPr>
        <w:pStyle w:val="6"/>
        <w:numPr>
          <w:ilvl w:val="4"/>
          <w:numId w:val="0"/>
        </w:numPr>
        <w:bidi w:val="0"/>
        <w:ind w:leftChars="0"/>
        <w:rPr>
          <w:rFonts w:hint="default"/>
          <w:lang w:val="en-US" w:eastAsia="zh-CN"/>
        </w:rPr>
      </w:pPr>
    </w:p>
    <w:bookmarkEnd w:id="6"/>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Symbol">
    <w:altName w:val="Kingsoft Sig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709B35"/>
    <w:multiLevelType w:val="multilevel"/>
    <w:tmpl w:val="D6709B35"/>
    <w:lvl w:ilvl="0" w:tentative="0">
      <w:start w:val="1"/>
      <w:numFmt w:val="chineseCounting"/>
      <w:suff w:val="nothing"/>
      <w:lvlText w:val="第%1章 "/>
      <w:lvlJc w:val="left"/>
      <w:pPr>
        <w:ind w:left="0" w:firstLine="402"/>
      </w:pPr>
      <w:rPr>
        <w:rFonts w:hint="eastAsia"/>
      </w:rPr>
    </w:lvl>
    <w:lvl w:ilvl="1" w:tentative="0">
      <w:start w:val="1"/>
      <w:numFmt w:val="chineseCounting"/>
      <w:pStyle w:val="3"/>
      <w:suff w:val="nothing"/>
      <w:lvlText w:val="%2、"/>
      <w:lvlJc w:val="left"/>
      <w:pPr>
        <w:ind w:left="0" w:firstLine="402"/>
      </w:pPr>
      <w:rPr>
        <w:rFonts w:hint="eastAsia"/>
      </w:rPr>
    </w:lvl>
    <w:lvl w:ilvl="2" w:tentative="0">
      <w:start w:val="1"/>
      <w:numFmt w:val="decimal"/>
      <w:pStyle w:val="4"/>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pStyle w:val="5"/>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2">
    <w:nsid w:val="776EF15E"/>
    <w:multiLevelType w:val="singleLevel"/>
    <w:tmpl w:val="776EF15E"/>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D480EBF"/>
    <w:rsid w:val="0D570D57"/>
    <w:rsid w:val="10254AFF"/>
    <w:rsid w:val="13474EA9"/>
    <w:rsid w:val="17682CC6"/>
    <w:rsid w:val="17872A04"/>
    <w:rsid w:val="1A4E4275"/>
    <w:rsid w:val="1A5F56EF"/>
    <w:rsid w:val="225D0766"/>
    <w:rsid w:val="22AE0FC2"/>
    <w:rsid w:val="23745A0F"/>
    <w:rsid w:val="2C6D7571"/>
    <w:rsid w:val="3E4C043C"/>
    <w:rsid w:val="3FEA17AB"/>
    <w:rsid w:val="410B542B"/>
    <w:rsid w:val="427B35B9"/>
    <w:rsid w:val="435B43F6"/>
    <w:rsid w:val="45B00A41"/>
    <w:rsid w:val="4C017B05"/>
    <w:rsid w:val="4D62478F"/>
    <w:rsid w:val="4FD75668"/>
    <w:rsid w:val="55426F5C"/>
    <w:rsid w:val="6401649C"/>
    <w:rsid w:val="65907A54"/>
    <w:rsid w:val="6AEC1C54"/>
    <w:rsid w:val="6FC25058"/>
    <w:rsid w:val="7C8E41F3"/>
    <w:rsid w:val="BEFF85DD"/>
    <w:rsid w:val="FFDF6AA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80" w:beforeAutospacing="0" w:after="180" w:afterAutospacing="0"/>
      <w:ind w:firstLine="480" w:firstLineChars="200"/>
      <w:jc w:val="both"/>
    </w:pPr>
    <w:rPr>
      <w:rFonts w:ascii="微软雅黑" w:hAnsi="微软雅黑" w:eastAsia="微软雅黑" w:cstheme="minorBidi"/>
      <w:sz w:val="24"/>
      <w:szCs w:val="24"/>
      <w:lang w:val="en-US" w:eastAsia="en-US" w:bidi="ar-SA"/>
    </w:rPr>
  </w:style>
  <w:style w:type="paragraph" w:styleId="2">
    <w:name w:val="heading 1"/>
    <w:basedOn w:val="1"/>
    <w:qFormat/>
    <w:uiPriority w:val="9"/>
    <w:pPr>
      <w:keepNext/>
      <w:keepLines/>
      <w:numPr>
        <w:ilvl w:val="0"/>
        <w:numId w:val="0"/>
      </w:numPr>
      <w:tabs>
        <w:tab w:val="left" w:pos="0"/>
      </w:tabs>
      <w:spacing w:before="480" w:beforeAutospacing="0" w:after="0" w:afterAutospacing="0"/>
      <w:jc w:val="center"/>
      <w:outlineLvl w:val="0"/>
    </w:pPr>
    <w:rPr>
      <w:rFonts w:cstheme="majorBidi"/>
      <w:b/>
      <w:bCs/>
      <w:color w:val="auto"/>
      <w:sz w:val="32"/>
      <w:szCs w:val="32"/>
    </w:rPr>
  </w:style>
  <w:style w:type="paragraph" w:styleId="3">
    <w:name w:val="heading 2"/>
    <w:basedOn w:val="1"/>
    <w:unhideWhenUsed/>
    <w:qFormat/>
    <w:uiPriority w:val="9"/>
    <w:pPr>
      <w:keepNext/>
      <w:keepLines/>
      <w:numPr>
        <w:ilvl w:val="1"/>
        <w:numId w:val="1"/>
      </w:numPr>
      <w:tabs>
        <w:tab w:val="left" w:pos="0"/>
      </w:tabs>
      <w:spacing w:before="200" w:beforeAutospacing="0" w:after="0" w:afterAutospacing="0"/>
      <w:ind w:firstLine="0" w:firstLineChars="0"/>
      <w:outlineLvl w:val="1"/>
    </w:pPr>
    <w:rPr>
      <w:rFonts w:cstheme="majorBidi"/>
      <w:b/>
      <w:bCs/>
      <w:color w:val="auto"/>
      <w:sz w:val="28"/>
      <w:szCs w:val="28"/>
    </w:rPr>
  </w:style>
  <w:style w:type="paragraph" w:styleId="4">
    <w:name w:val="heading 3"/>
    <w:basedOn w:val="1"/>
    <w:unhideWhenUsed/>
    <w:qFormat/>
    <w:uiPriority w:val="9"/>
    <w:pPr>
      <w:keepNext/>
      <w:keepLines/>
      <w:numPr>
        <w:ilvl w:val="2"/>
        <w:numId w:val="1"/>
      </w:numPr>
      <w:tabs>
        <w:tab w:val="left" w:pos="0"/>
      </w:tabs>
      <w:spacing w:before="200" w:beforeAutospacing="0" w:after="0" w:afterAutospacing="0"/>
      <w:ind w:firstLine="0" w:firstLineChars="0"/>
      <w:outlineLvl w:val="2"/>
    </w:pPr>
    <w:rPr>
      <w:rFonts w:cstheme="majorBidi"/>
      <w:b/>
      <w:bCs/>
      <w:color w:val="auto"/>
    </w:rPr>
  </w:style>
  <w:style w:type="paragraph" w:styleId="5">
    <w:name w:val="heading 4"/>
    <w:basedOn w:val="1"/>
    <w:unhideWhenUsed/>
    <w:qFormat/>
    <w:uiPriority w:val="9"/>
    <w:pPr>
      <w:keepNext/>
      <w:keepLines/>
      <w:numPr>
        <w:ilvl w:val="3"/>
        <w:numId w:val="2"/>
      </w:numPr>
      <w:spacing w:before="200" w:beforeAutospacing="0" w:after="0" w:afterAutospacing="0"/>
      <w:ind w:firstLine="0" w:firstLineChars="0"/>
      <w:outlineLvl w:val="3"/>
    </w:pPr>
    <w:rPr>
      <w:rFonts w:cstheme="majorBidi"/>
      <w:bCs/>
      <w:i/>
      <w:color w:val="auto"/>
    </w:rPr>
  </w:style>
  <w:style w:type="paragraph" w:styleId="6">
    <w:name w:val="heading 5"/>
    <w:basedOn w:val="1"/>
    <w:unhideWhenUsed/>
    <w:qFormat/>
    <w:uiPriority w:val="9"/>
    <w:pPr>
      <w:keepNext/>
      <w:keepLines/>
      <w:numPr>
        <w:ilvl w:val="4"/>
        <w:numId w:val="2"/>
      </w:numPr>
      <w:spacing w:before="200" w:beforeAutospacing="0" w:after="0" w:afterAutospacing="0"/>
      <w:ind w:firstLine="0" w:firstLineChars="0"/>
      <w:outlineLvl w:val="4"/>
    </w:pPr>
    <w:rPr>
      <w:rFonts w:cstheme="majorBidi"/>
      <w:iCs/>
      <w:color w:val="auto"/>
    </w:rPr>
  </w:style>
  <w:style w:type="paragraph" w:styleId="7">
    <w:name w:val="heading 6"/>
    <w:basedOn w:val="1"/>
    <w:unhideWhenUsed/>
    <w:qFormat/>
    <w:uiPriority w:val="9"/>
    <w:pPr>
      <w:keepNext/>
      <w:keepLines/>
      <w:numPr>
        <w:ilvl w:val="5"/>
        <w:numId w:val="2"/>
      </w:numPr>
      <w:spacing w:before="200" w:beforeAutospacing="0" w:after="0" w:afterAutospacing="0"/>
      <w:ind w:firstLine="0" w:firstLineChars="0"/>
      <w:outlineLvl w:val="5"/>
    </w:pPr>
    <w:rPr>
      <w:rFonts w:cstheme="majorBidi"/>
      <w:color w:val="auto"/>
    </w:rPr>
  </w:style>
  <w:style w:type="paragraph" w:styleId="8">
    <w:name w:val="heading 7"/>
    <w:basedOn w:val="1"/>
    <w:unhideWhenUsed/>
    <w:qFormat/>
    <w:uiPriority w:val="9"/>
    <w:pPr>
      <w:keepNext/>
      <w:keepLines/>
      <w:numPr>
        <w:ilvl w:val="6"/>
        <w:numId w:val="2"/>
      </w:numPr>
      <w:spacing w:before="200" w:beforeAutospacing="0" w:after="0" w:afterAutospacing="0"/>
      <w:ind w:firstLine="0" w:firstLineChars="0"/>
      <w:outlineLvl w:val="6"/>
    </w:pPr>
    <w:rPr>
      <w:rFonts w:cstheme="majorBidi"/>
      <w:color w:val="auto"/>
    </w:rPr>
  </w:style>
  <w:style w:type="paragraph" w:styleId="9">
    <w:name w:val="heading 8"/>
    <w:basedOn w:val="1"/>
    <w:unhideWhenUsed/>
    <w:qFormat/>
    <w:uiPriority w:val="9"/>
    <w:pPr>
      <w:keepNext/>
      <w:keepLines/>
      <w:numPr>
        <w:ilvl w:val="7"/>
        <w:numId w:val="2"/>
      </w:numPr>
      <w:spacing w:before="200" w:beforeAutospacing="0" w:after="0" w:afterAutospacing="0"/>
      <w:ind w:firstLine="0" w:firstLineChars="0"/>
      <w:outlineLvl w:val="7"/>
    </w:pPr>
    <w:rPr>
      <w:rFonts w:cstheme="majorBidi"/>
      <w:color w:val="auto"/>
    </w:rPr>
  </w:style>
  <w:style w:type="paragraph" w:styleId="10">
    <w:name w:val="heading 9"/>
    <w:basedOn w:val="1"/>
    <w:unhideWhenUsed/>
    <w:qFormat/>
    <w:uiPriority w:val="9"/>
    <w:pPr>
      <w:keepNext/>
      <w:keepLines/>
      <w:numPr>
        <w:ilvl w:val="8"/>
        <w:numId w:val="2"/>
      </w:numPr>
      <w:spacing w:before="200" w:beforeAutospacing="0" w:after="0" w:afterAutospacing="0"/>
      <w:ind w:firstLine="0" w:firstLineChars="0"/>
      <w:outlineLvl w:val="8"/>
    </w:pPr>
    <w:rPr>
      <w:rFonts w:cstheme="majorBidi"/>
      <w:color w:val="auto"/>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11">
    <w:name w:val="caption"/>
    <w:basedOn w:val="1"/>
    <w:qFormat/>
    <w:uiPriority w:val="0"/>
    <w:pPr>
      <w:spacing w:before="0" w:after="120"/>
    </w:pPr>
    <w:rPr>
      <w:i/>
    </w:rPr>
  </w:style>
  <w:style w:type="paragraph" w:styleId="12">
    <w:name w:val="Block Text"/>
    <w:unhideWhenUsed/>
    <w:qFormat/>
    <w:uiPriority w:val="9"/>
    <w:pPr>
      <w:spacing w:before="100" w:after="100"/>
      <w:ind w:left="480" w:right="480" w:firstLine="0"/>
    </w:pPr>
    <w:rPr>
      <w:rFonts w:ascii="Times New Roman" w:hAnsi="Times New Roman" w:eastAsia="宋体" w:cs="Times New Roman"/>
    </w:rPr>
  </w:style>
  <w:style w:type="paragraph" w:styleId="13">
    <w:name w:val="Date"/>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14">
    <w:name w:val="Subtitle"/>
    <w:basedOn w:val="15"/>
    <w:qFormat/>
    <w:uiPriority w:val="0"/>
    <w:pPr>
      <w:keepNext/>
      <w:keepLines/>
      <w:spacing w:before="240" w:after="240"/>
      <w:jc w:val="center"/>
    </w:pPr>
    <w:rPr>
      <w:rFonts w:ascii="微软雅黑" w:hAnsi="微软雅黑"/>
      <w:sz w:val="30"/>
      <w:szCs w:val="30"/>
    </w:rPr>
  </w:style>
  <w:style w:type="paragraph" w:styleId="15">
    <w:name w:val="Title"/>
    <w:basedOn w:val="1"/>
    <w:qFormat/>
    <w:uiPriority w:val="0"/>
    <w:pPr>
      <w:keepNext/>
      <w:keepLines/>
      <w:spacing w:before="60"/>
      <w:ind w:firstLine="0" w:firstLineChars="0"/>
      <w:jc w:val="center"/>
    </w:pPr>
    <w:rPr>
      <w:rFonts w:cstheme="majorBidi"/>
      <w:b/>
      <w:bCs/>
      <w:color w:val="auto"/>
      <w:sz w:val="36"/>
      <w:szCs w:val="36"/>
    </w:rPr>
  </w:style>
  <w:style w:type="paragraph" w:styleId="16">
    <w:name w:val="footnote text"/>
    <w:basedOn w:val="1"/>
    <w:unhideWhenUsed/>
    <w:qFormat/>
    <w:uiPriority w:val="9"/>
    <w:rPr>
      <w:rFonts w:ascii="微软雅黑" w:hAnsi="微软雅黑" w:eastAsia="微软雅黑"/>
    </w:rPr>
  </w:style>
  <w:style w:type="paragraph" w:styleId="17">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character" w:styleId="20">
    <w:name w:val="Hyperlink"/>
    <w:qFormat/>
    <w:uiPriority w:val="0"/>
    <w:rPr>
      <w:color w:val="0070C0"/>
      <w:u w:val="single"/>
    </w:rPr>
  </w:style>
  <w:style w:type="character" w:styleId="21">
    <w:name w:val="footnote reference"/>
    <w:qFormat/>
    <w:uiPriority w:val="0"/>
    <w:rPr>
      <w:vertAlign w:val="superscript"/>
    </w:rPr>
  </w:style>
  <w:style w:type="paragraph" w:customStyle="1" w:styleId="22">
    <w:name w:val="First Paragraph"/>
    <w:qFormat/>
    <w:uiPriority w:val="0"/>
    <w:pPr>
      <w:ind w:firstLine="720" w:firstLineChars="200"/>
      <w:jc w:val="both"/>
    </w:pPr>
    <w:rPr>
      <w:rFonts w:ascii="Times New Roman" w:hAnsi="Times New Roman" w:eastAsia="宋体" w:cs="Times New Roman"/>
    </w:rPr>
  </w:style>
  <w:style w:type="paragraph" w:customStyle="1" w:styleId="23">
    <w:name w:val="Compact"/>
    <w:qFormat/>
    <w:uiPriority w:val="0"/>
    <w:pPr>
      <w:spacing w:before="36" w:after="36"/>
    </w:pPr>
    <w:rPr>
      <w:rFonts w:ascii="Times New Roman" w:hAnsi="Times New Roman" w:eastAsia="宋体" w:cs="Times New Roman"/>
    </w:rPr>
  </w:style>
  <w:style w:type="paragraph" w:customStyle="1" w:styleId="24">
    <w:name w:val="Author"/>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25">
    <w:name w:val="Abstract Title"/>
    <w:basedOn w:val="1"/>
    <w:next w:val="26"/>
    <w:qFormat/>
    <w:uiPriority w:val="0"/>
    <w:pPr>
      <w:keepNext/>
      <w:keepLines/>
      <w:spacing w:before="300" w:after="0"/>
      <w:jc w:val="center"/>
    </w:pPr>
    <w:rPr>
      <w:b/>
      <w:color w:val="345A8A"/>
      <w:sz w:val="20"/>
      <w:szCs w:val="20"/>
    </w:rPr>
  </w:style>
  <w:style w:type="paragraph" w:customStyle="1" w:styleId="26">
    <w:name w:val="Abstract"/>
    <w:basedOn w:val="1"/>
    <w:qFormat/>
    <w:uiPriority w:val="0"/>
    <w:pPr>
      <w:keepNext/>
      <w:keepLines/>
      <w:spacing w:before="100" w:after="300"/>
    </w:pPr>
    <w:rPr>
      <w:rFonts w:ascii="微软雅黑" w:hAnsi="微软雅黑" w:eastAsia="微软雅黑"/>
      <w:sz w:val="20"/>
      <w:szCs w:val="20"/>
    </w:rPr>
  </w:style>
  <w:style w:type="paragraph" w:customStyle="1" w:styleId="27">
    <w:name w:val="Bibliography"/>
    <w:basedOn w:val="1"/>
    <w:qFormat/>
    <w:uiPriority w:val="0"/>
  </w:style>
  <w:style w:type="paragraph" w:customStyle="1" w:styleId="28">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rFonts w:ascii="微软雅黑" w:hAnsi="微软雅黑" w:eastAsia="微软雅黑"/>
      <w:b/>
    </w:rPr>
  </w:style>
  <w:style w:type="paragraph" w:customStyle="1" w:styleId="31">
    <w:name w:val="Definition"/>
    <w:basedOn w:val="1"/>
    <w:qFormat/>
    <w:uiPriority w:val="0"/>
    <w:rPr>
      <w:rFonts w:ascii="微软雅黑" w:hAnsi="微软雅黑" w:eastAsia="微软雅黑"/>
    </w:rPr>
  </w:style>
  <w:style w:type="paragraph" w:customStyle="1" w:styleId="32">
    <w:name w:val="Table Caption"/>
    <w:basedOn w:val="11"/>
    <w:qFormat/>
    <w:uiPriority w:val="0"/>
    <w:pPr>
      <w:keepNext/>
    </w:pPr>
    <w:rPr>
      <w:rFonts w:ascii="微软雅黑" w:hAnsi="微软雅黑" w:eastAsia="微软雅黑"/>
    </w:rPr>
  </w:style>
  <w:style w:type="paragraph" w:customStyle="1" w:styleId="33">
    <w:name w:val="Image Caption"/>
    <w:basedOn w:val="11"/>
    <w:qFormat/>
    <w:uiPriority w:val="0"/>
    <w:rPr>
      <w:rFonts w:ascii="微软雅黑" w:hAnsi="微软雅黑" w:eastAsia="微软雅黑"/>
    </w:rPr>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qFormat/>
    <w:uiPriority w:val="0"/>
    <w:rPr>
      <w:rFonts w:ascii="Consolas" w:hAnsi="Consolas"/>
      <w:sz w:val="22"/>
    </w:rPr>
  </w:style>
  <w:style w:type="character" w:customStyle="1" w:styleId="37">
    <w:name w:val="Section Number"/>
    <w:qFormat/>
    <w:uiPriority w:val="0"/>
  </w:style>
  <w:style w:type="paragraph" w:customStyle="1" w:styleId="38">
    <w:name w:val="TOC Heading"/>
    <w:basedOn w:val="2"/>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paragraph" w:customStyle="1" w:styleId="39">
    <w:name w:val="Source Code"/>
    <w:qFormat/>
    <w:uiPriority w:val="0"/>
    <w:pPr>
      <w:wordWrap w:val="0"/>
    </w:pPr>
    <w:rPr>
      <w:rFonts w:asciiTheme="minorHAnsi" w:hAnsiTheme="minorHAnsi" w:eastAsiaTheme="minorHAnsi" w:cstheme="minorBidi"/>
    </w:rPr>
  </w:style>
  <w:style w:type="character" w:customStyle="1" w:styleId="40">
    <w:name w:val="KeywordTok"/>
    <w:qFormat/>
    <w:uiPriority w:val="0"/>
    <w:rPr>
      <w:b/>
      <w:color w:val="007020"/>
    </w:rPr>
  </w:style>
  <w:style w:type="character" w:customStyle="1" w:styleId="41">
    <w:name w:val="DataTypeTok"/>
    <w:qFormat/>
    <w:uiPriority w:val="0"/>
    <w:rPr>
      <w:color w:val="902000"/>
    </w:rPr>
  </w:style>
  <w:style w:type="character" w:customStyle="1" w:styleId="42">
    <w:name w:val="DecValTok"/>
    <w:qFormat/>
    <w:uiPriority w:val="0"/>
    <w:rPr>
      <w:color w:val="40A070"/>
    </w:rPr>
  </w:style>
  <w:style w:type="character" w:customStyle="1" w:styleId="43">
    <w:name w:val="BaseNTok"/>
    <w:qFormat/>
    <w:uiPriority w:val="0"/>
    <w:rPr>
      <w:color w:val="40A070"/>
    </w:rPr>
  </w:style>
  <w:style w:type="character" w:customStyle="1" w:styleId="44">
    <w:name w:val="FloatTok"/>
    <w:qFormat/>
    <w:uiPriority w:val="0"/>
    <w:rPr>
      <w:color w:val="40A070"/>
    </w:rPr>
  </w:style>
  <w:style w:type="character" w:customStyle="1" w:styleId="45">
    <w:name w:val="ConstantTok"/>
    <w:qFormat/>
    <w:uiPriority w:val="0"/>
    <w:rPr>
      <w:color w:val="880000"/>
    </w:rPr>
  </w:style>
  <w:style w:type="character" w:customStyle="1" w:styleId="46">
    <w:name w:val="CharTok"/>
    <w:qFormat/>
    <w:uiPriority w:val="0"/>
    <w:rPr>
      <w:color w:val="4070A0"/>
    </w:rPr>
  </w:style>
  <w:style w:type="character" w:customStyle="1" w:styleId="47">
    <w:name w:val="SpecialCharTok"/>
    <w:qFormat/>
    <w:uiPriority w:val="0"/>
    <w:rPr>
      <w:color w:val="4070A0"/>
    </w:rPr>
  </w:style>
  <w:style w:type="character" w:customStyle="1" w:styleId="48">
    <w:name w:val="StringTok"/>
    <w:qFormat/>
    <w:uiPriority w:val="0"/>
    <w:rPr>
      <w:color w:val="4070A0"/>
    </w:rPr>
  </w:style>
  <w:style w:type="character" w:customStyle="1" w:styleId="49">
    <w:name w:val="VerbatimStringTok"/>
    <w:qFormat/>
    <w:uiPriority w:val="0"/>
    <w:rPr>
      <w:color w:val="4070A0"/>
    </w:rPr>
  </w:style>
  <w:style w:type="character" w:customStyle="1" w:styleId="50">
    <w:name w:val="SpecialStringTok"/>
    <w:qFormat/>
    <w:uiPriority w:val="0"/>
    <w:rPr>
      <w:color w:val="BB6688"/>
    </w:rPr>
  </w:style>
  <w:style w:type="character" w:customStyle="1" w:styleId="51">
    <w:name w:val="ImportTok"/>
    <w:qFormat/>
    <w:uiPriority w:val="0"/>
    <w:rPr>
      <w:b/>
      <w:color w:val="008000"/>
    </w:rPr>
  </w:style>
  <w:style w:type="character" w:customStyle="1" w:styleId="52">
    <w:name w:val="CommentTok"/>
    <w:qFormat/>
    <w:uiPriority w:val="0"/>
    <w:rPr>
      <w:i/>
      <w:color w:val="60A0B0"/>
    </w:rPr>
  </w:style>
  <w:style w:type="character" w:customStyle="1" w:styleId="53">
    <w:name w:val="DocumentationTok"/>
    <w:qFormat/>
    <w:uiPriority w:val="0"/>
    <w:rPr>
      <w:i/>
      <w:color w:val="BA2121"/>
    </w:rPr>
  </w:style>
  <w:style w:type="character" w:customStyle="1" w:styleId="54">
    <w:name w:val="AnnotationTok"/>
    <w:qFormat/>
    <w:uiPriority w:val="0"/>
    <w:rPr>
      <w:b/>
      <w:i/>
      <w:color w:val="60A0B0"/>
    </w:rPr>
  </w:style>
  <w:style w:type="character" w:customStyle="1" w:styleId="55">
    <w:name w:val="CommentVarTok"/>
    <w:qFormat/>
    <w:uiPriority w:val="0"/>
    <w:rPr>
      <w:b/>
      <w:i/>
      <w:color w:val="60A0B0"/>
    </w:rPr>
  </w:style>
  <w:style w:type="character" w:customStyle="1" w:styleId="56">
    <w:name w:val="OtherTok"/>
    <w:qFormat/>
    <w:uiPriority w:val="0"/>
    <w:rPr>
      <w:color w:val="007020"/>
    </w:rPr>
  </w:style>
  <w:style w:type="character" w:customStyle="1" w:styleId="57">
    <w:name w:val="FunctionTok"/>
    <w:qFormat/>
    <w:uiPriority w:val="0"/>
    <w:rPr>
      <w:color w:val="06287E"/>
    </w:rPr>
  </w:style>
  <w:style w:type="character" w:customStyle="1" w:styleId="58">
    <w:name w:val="VariableTok"/>
    <w:qFormat/>
    <w:uiPriority w:val="0"/>
    <w:rPr>
      <w:color w:val="19177C"/>
    </w:rPr>
  </w:style>
  <w:style w:type="character" w:customStyle="1" w:styleId="59">
    <w:name w:val="ControlFlowTok"/>
    <w:qFormat/>
    <w:uiPriority w:val="0"/>
    <w:rPr>
      <w:b/>
      <w:color w:val="007020"/>
    </w:rPr>
  </w:style>
  <w:style w:type="character" w:customStyle="1" w:styleId="60">
    <w:name w:val="OperatorTok"/>
    <w:qFormat/>
    <w:uiPriority w:val="0"/>
    <w:rPr>
      <w:color w:val="666666"/>
    </w:rPr>
  </w:style>
  <w:style w:type="character" w:customStyle="1" w:styleId="61">
    <w:name w:val="BuiltInTok"/>
    <w:qFormat/>
    <w:uiPriority w:val="0"/>
    <w:rPr>
      <w:color w:val="008000"/>
    </w:rPr>
  </w:style>
  <w:style w:type="character" w:customStyle="1" w:styleId="62">
    <w:name w:val="ExtensionTok"/>
    <w:qFormat/>
    <w:uiPriority w:val="0"/>
  </w:style>
  <w:style w:type="character" w:customStyle="1" w:styleId="63">
    <w:name w:val="PreprocessorTok"/>
    <w:qFormat/>
    <w:uiPriority w:val="0"/>
    <w:rPr>
      <w:color w:val="BC7A00"/>
    </w:rPr>
  </w:style>
  <w:style w:type="character" w:customStyle="1" w:styleId="64">
    <w:name w:val="AttributeTok"/>
    <w:qFormat/>
    <w:uiPriority w:val="0"/>
    <w:rPr>
      <w:color w:val="7D9029"/>
    </w:rPr>
  </w:style>
  <w:style w:type="character" w:customStyle="1" w:styleId="65">
    <w:name w:val="RegionMarkerTok"/>
    <w:qFormat/>
    <w:uiPriority w:val="0"/>
  </w:style>
  <w:style w:type="character" w:customStyle="1" w:styleId="66">
    <w:name w:val="InformationTok"/>
    <w:qFormat/>
    <w:uiPriority w:val="0"/>
    <w:rPr>
      <w:b/>
      <w:i/>
      <w:color w:val="60A0B0"/>
    </w:rPr>
  </w:style>
  <w:style w:type="character" w:customStyle="1" w:styleId="67">
    <w:name w:val="WarningTok"/>
    <w:qFormat/>
    <w:uiPriority w:val="0"/>
    <w:rPr>
      <w:b/>
      <w:i/>
      <w:color w:val="60A0B0"/>
    </w:rPr>
  </w:style>
  <w:style w:type="character" w:customStyle="1" w:styleId="68">
    <w:name w:val="AlertTok"/>
    <w:qFormat/>
    <w:uiPriority w:val="0"/>
    <w:rPr>
      <w:b/>
      <w:color w:val="FF0000"/>
    </w:rPr>
  </w:style>
  <w:style w:type="character" w:customStyle="1" w:styleId="69">
    <w:name w:val="ErrorTok"/>
    <w:qFormat/>
    <w:uiPriority w:val="0"/>
    <w:rPr>
      <w:b/>
      <w:color w:val="FF0000"/>
    </w:rPr>
  </w:style>
  <w:style w:type="character" w:customStyle="1" w:styleId="70">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14</Pages>
  <Words>83</Words>
  <Characters>475</Characters>
  <Lines>12</Lines>
  <Paragraphs>8</Paragraphs>
  <TotalTime>1</TotalTime>
  <ScaleCrop>false</ScaleCrop>
  <LinksUpToDate>false</LinksUpToDate>
  <CharactersWithSpaces>583</CharactersWithSpaces>
  <Application>WPS Office WWO_wpscloud_20251210192134-89989c4dbf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2024-11-13T07:05:00Z</dcterms:created>
  <dc:creator>bowen</dc:creator>
  <cp:lastModifiedBy>严博文</cp:lastModifiedBy>
  <dcterms:modified xsi:type="dcterms:W3CDTF">2025-12-12T18:31:08Z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2052-12.9.0.24109</vt:lpwstr>
  </property>
  <property fmtid="{D5CDD505-2E9C-101B-9397-08002B2CF9AE}" pid="3" name="ICV">
    <vt:lpwstr>4804722B2454DC6CECEE3B694E70EF00_43</vt:lpwstr>
  </property>
</Properties>
</file>