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sectPr>
      <w:type w:val="nextPage"/>
      <w:pgSz w:w="11906" w:h="16838"/>
      <w:pgMar w:top="1440" w:right="1440" w:bottom="1440" w:left="1440"/>
    </w:sectPr>
    <!-- COVER PAGE -->
    <w:p>
      <w:pPr>
        <w:jc w:val="center"/>
        <w:spacing w:before="3600"/>
      </w:pPr>
      <w:r>
        <w:rPr>
          <w:sz w:val="72"/>
          <w:b/>
          <w:color w:val="1a365d"/>
          <w:rFonts w:ascii="Calibri" w:hAnsi="Calibri"/>
        </w:rPr>
        <w:t xml:space="preserve">ServiceFlow</w:t>
      </w:r>
    </w:p>
    <w:p>
      <w:pPr>
        <w:jc w:val="center"/>
        <w:spacing w:before="200" w:after="200"/>
      </w:pPr>
      <w:r>
        <w:rPr>
          <w:sz w:val="28"/>
          <w:color w:val="4a5568"/>
          <w:rFonts w:ascii="Calibri" w:hAnsi="Calibri"/>
        </w:rPr>
        <w:t xml:space="preserve">A Digital Platform for Improving Local Service Delivery</w:t>
      </w:r>
    </w:p>
    <w:p>
      <w:pPr>
        <w:jc w:val="center"/>
        <w:spacing w:before="600"/>
      </w:pPr>
      <w:r>
        <w:rPr>
          <w:sz w:val="28"/>
          <w:color w:val="4a5568"/>
          <w:rFonts w:ascii="Calibri" w:hAnsi="Calibri"/>
        </w:rPr>
        <w:t xml:space="preserve">Project Report</w:t>
      </w:r>
    </w:p>
    <w:p>
      <w:pPr>
        <w:jc w:val="center"/>
        <w:spacing w:before="2400"/>
      </w:pPr>
      <w:r>
        <w:rPr>
          <w:sz w:val="26"/>
          <w:color w:val="2d3748"/>
          <w:rFonts w:ascii="Calibri" w:hAnsi="Calibri"/>
        </w:rPr>
        <w:t xml:space="preserve">By: Muwanguzi Asa</w:t>
      </w:r>
    </w:p>
    <!-- PAGE BREAK -->
    <w:p>
      <w:r>
        <w:br w:type="page"/>
      </w:r>
    </w:p>
    <!-- REPORT CONTENT -->
    <w:p>
      <w:pPr>
        <w:pStyle w:val="Heading1"/>
        <w:spacing w:before="240" w:after="120"/>
      </w:pPr>
      <w:r>
        <w:rPr>
          <w:rFonts w:ascii="Calibri" w:hAnsi="Calibri"/>
        </w:rPr>
        <w:t xml:space="preserve">1. Executive Summary</w:t>
      </w:r>
    </w:p>
    <w:p>
      <w:pPr/>
      <w:r>
        <w:rPr>
          <w:sz w:val="22"/>
          <w:rFonts w:ascii="Calibri" w:hAnsi="Calibri"/>
        </w:rPr>
        <w:t xml:space="preserve">ServiceFlow is a self-contained digital platform designed to address the persistent challenge of poor service delivery in Uganda. The application connects citizens with local businesses—groceries, pharmacies, hardware stores, restaurants, and other service providers—by providing real-time visibility into product availability, business locations, and service offerings. By reducing the time and fuel spent searching for goods and services, ServiceFlow aims to improve daily commerce efficiency for both consumers and business owners across Ugandan communities.</w:t>
      </w:r>
    </w:p>
    <w:p>
      <w:pPr>
        <w:pStyle w:val="Heading1"/>
        <w:spacing w:before="240" w:after="120"/>
      </w:pPr>
      <w:r>
        <w:rPr>
          <w:rFonts w:ascii="Calibri" w:hAnsi="Calibri"/>
        </w:rPr>
        <w:t xml:space="preserve">2. Problem Statement</w:t>
      </w:r>
    </w:p>
    <w:p>
      <w:pPr/>
      <w:r>
        <w:rPr>
          <w:sz w:val="22"/>
          <w:rFonts w:ascii="Calibri" w:hAnsi="Calibri"/>
        </w:rPr>
        <w:t xml:space="preserve">Service delivery in Uganda faces several structural challenges:</w:t>
      </w:r>
    </w:p>
    <w:p>
      <w:pPr/>
      <w:r>
        <w:rPr>
          <w:sz w:val="22"/>
          <w:rFonts w:ascii="Calibri" w:hAnsi="Calibri"/>
        </w:rPr>
        <w:t xml:space="preserve">Lack of visibility: Citizens often travel to multiple businesses searching for products that may be out of stock, wasting both time and transport costs.</w:t>
      </w:r>
    </w:p>
    <w:p>
      <w:pPr/>
      <w:r>
        <w:rPr>
          <w:sz w:val="22"/>
          <w:rFonts w:ascii="Calibri" w:hAnsi="Calibri"/>
        </w:rPr>
        <w:t xml:space="preserve">No central directory: Small and medium businesses lack affordable digital storefronts to list their products and services to potential customers.</w:t>
      </w:r>
    </w:p>
    <w:p>
      <w:pPr/>
      <w:r>
        <w:rPr>
          <w:sz w:val="22"/>
          <w:rFonts w:ascii="Calibri" w:hAnsi="Calibri"/>
        </w:rPr>
        <w:t xml:space="preserve">Limited access information: Business hours, contact details, and delivery options are frequently unavailable without physical visits to the premises.</w:t>
      </w:r>
    </w:p>
    <w:p>
      <w:pPr/>
      <w:r>
        <w:rPr>
          <w:sz w:val="22"/>
          <w:rFonts w:ascii="Calibri" w:hAnsi="Calibri"/>
        </w:rPr>
        <w:t xml:space="preserve">Infrastructure constraints: Many existing solutions require constant internet connectivity, expensive subscriptions, or complex installations that are unsuitable for the Ugandan context.</w:t>
      </w:r>
    </w:p>
    <w:p>
      <w:pPr/>
      <w:r>
        <w:rPr>
          <w:sz w:val="22"/>
          <w:rFonts w:ascii="Calibri" w:hAnsi="Calibri"/>
        </w:rPr>
        <w:t xml:space="preserve">Inefficient communication: Customers have no structured way to inquire about products or send queries to businesses before travelling.</w:t>
      </w:r>
    </w:p>
    <w:p>
      <w:pPr/>
      <w:r>
        <w:rPr>
          <w:sz w:val="22"/>
          <w:rFonts w:ascii="Calibri" w:hAnsi="Calibri"/>
        </w:rPr>
        <w:t xml:space="preserve">ServiceFlow directly addresses these issues through a lightweight, independently deployable platform that operates in both online and local network environments, making it accessible regardless of internet infrastructure.</w:t>
      </w:r>
    </w:p>
    <w:p>
      <w:pPr>
        <w:pStyle w:val="Heading1"/>
        <w:spacing w:before="240" w:after="120"/>
      </w:pPr>
      <w:r>
        <w:rPr>
          <w:rFonts w:ascii="Calibri" w:hAnsi="Calibri"/>
        </w:rPr>
        <w:t xml:space="preserve">3. System Architecture</w:t>
      </w:r>
    </w:p>
    <w:p>
      <w:pPr/>
      <w:r>
        <w:rPr>
          <w:sz w:val="22"/>
          <w:rFonts w:ascii="Calibri" w:hAnsi="Calibri"/>
        </w:rPr>
        <w:t xml:space="preserve">ServiceFlow employs a monolithic architecture with an embedded web server and a built-in database, all compiled into a single executable file. This design was chosen specifically for the Ugandan context, where infrastructure reliability cannot be guaranteed and technical expertise for maintaining complex systems is limited.</w:t>
      </w:r>
    </w:p>
    <w:p>
      <w:pPr>
        <w:pStyle w:val="Heading2"/>
        <w:spacing w:before="240" w:after="120"/>
      </w:pPr>
      <w:r>
        <w:rPr>
          <w:rFonts w:ascii="Calibri" w:hAnsi="Calibri"/>
        </w:rPr>
        <w:t xml:space="preserve">3.1 Technology Stack</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00"/>
        <w:gridCol w:w="3000"/>
        <w:gridCol w:w="3000"/>
      </w:tblGrid>
      <w:tr>
        <w:tc>
          <w:tcPr>
            <w:tcW w:w="5000" w:type="dxa"/>
            <w:shd w:val="clear" w:color="auto" w:fill="1a365d"/>
          </w:tcPr>
          <w:p>
            <w:r>
              <w:rPr>
                <w:sz w:val="20"/>
                <w:b/>
                <w:rFonts w:ascii="Calibri" w:hAnsi="Calibri"/>
                <w:color w:val="FFFFFF"/>
              </w:rPr>
              <w:t xml:space="preserve">Component</w:t>
            </w:r>
          </w:p>
        </w:tc>
        <w:tc>
          <w:tcPr>
            <w:tcW w:w="5000" w:type="dxa"/>
            <w:shd w:val="clear" w:color="auto" w:fill="1a365d"/>
          </w:tcPr>
          <w:p>
            <w:r>
              <w:rPr>
                <w:sz w:val="20"/>
                <w:b/>
                <w:rFonts w:ascii="Calibri" w:hAnsi="Calibri"/>
                <w:color w:val="FFFFFF"/>
              </w:rPr>
              <w:t xml:space="preserve">Technology</w:t>
            </w:r>
          </w:p>
        </w:tc>
        <w:tc>
          <w:tcPr>
            <w:tcW w:w="5000" w:type="dxa"/>
            <w:shd w:val="clear" w:color="auto" w:fill="1a365d"/>
          </w:tcPr>
          <w:p>
            <w:r>
              <w:rPr>
                <w:sz w:val="20"/>
                <w:b/>
                <w:rFonts w:ascii="Calibri" w:hAnsi="Calibri"/>
                <w:color w:val="FFFFFF"/>
              </w:rPr>
              <w:t xml:space="preserve">Justification</w:t>
            </w:r>
          </w:p>
        </w:tc>
      </w:tr>
      <w:tr>
        <w:tc>
          <w:tcPr>
            <w:tcW w:w="5000" w:type="dxa"/>
          </w:tcPr>
          <w:p>
            <w:r>
              <w:rPr>
                <w:sz w:val="20"/>
                <w:rFonts w:ascii="Calibri" w:hAnsi="Calibri"/>
              </w:rPr>
              <w:t xml:space="preserve">Programming Language</w:t>
            </w:r>
          </w:p>
        </w:tc>
        <w:tc>
          <w:tcPr>
            <w:tcW w:w="5000" w:type="dxa"/>
          </w:tcPr>
          <w:p>
            <w:r>
              <w:rPr>
                <w:sz w:val="20"/>
                <w:rFonts w:ascii="Calibri" w:hAnsi="Calibri"/>
              </w:rPr>
              <w:t xml:space="preserve">Go (Golang)</w:t>
            </w:r>
          </w:p>
        </w:tc>
        <w:tc>
          <w:tcPr>
            <w:tcW w:w="5000" w:type="dxa"/>
          </w:tcPr>
          <w:p>
            <w:r>
              <w:rPr>
                <w:sz w:val="20"/>
                <w:rFonts w:ascii="Calibri" w:hAnsi="Calibri"/>
              </w:rPr>
              <w:t xml:space="preserve">Single-binary compilation, zero external dependencies</w:t>
            </w:r>
          </w:p>
        </w:tc>
      </w:tr>
      <w:tr>
        <w:tc>
          <w:tcPr>
            <w:tcW w:w="5000" w:type="dxa"/>
          </w:tcPr>
          <w:p>
            <w:r>
              <w:rPr>
                <w:sz w:val="20"/>
                <w:rFonts w:ascii="Calibri" w:hAnsi="Calibri"/>
              </w:rPr>
              <w:t xml:space="preserve">Database</w:t>
            </w:r>
          </w:p>
        </w:tc>
        <w:tc>
          <w:tcPr>
            <w:tcW w:w="5000" w:type="dxa"/>
          </w:tcPr>
          <w:p>
            <w:r>
              <w:rPr>
                <w:sz w:val="20"/>
                <w:rFonts w:ascii="Calibri" w:hAnsi="Calibri"/>
              </w:rPr>
              <w:t xml:space="preserve">SQLite (modernc.org/sqlite)</w:t>
            </w:r>
          </w:p>
        </w:tc>
        <w:tc>
          <w:tcPr>
            <w:tcW w:w="5000" w:type="dxa"/>
          </w:tcPr>
          <w:p>
            <w:r>
              <w:rPr>
                <w:sz w:val="20"/>
                <w:rFonts w:ascii="Calibri" w:hAnsi="Calibri"/>
              </w:rPr>
              <w:t xml:space="preserve">Embedded, no server required, pure Go</w:t>
            </w:r>
          </w:p>
        </w:tc>
      </w:tr>
      <w:tr>
        <w:tc>
          <w:tcPr>
            <w:tcW w:w="5000" w:type="dxa"/>
          </w:tcPr>
          <w:p>
            <w:r>
              <w:rPr>
                <w:sz w:val="20"/>
                <w:rFonts w:ascii="Calibri" w:hAnsi="Calibri"/>
              </w:rPr>
              <w:t xml:space="preserve">Web Server</w:t>
            </w:r>
          </w:p>
        </w:tc>
        <w:tc>
          <w:tcPr>
            <w:tcW w:w="5000" w:type="dxa"/>
          </w:tcPr>
          <w:p>
            <w:r>
              <w:rPr>
                <w:sz w:val="20"/>
                <w:rFonts w:ascii="Calibri" w:hAnsi="Calibri"/>
              </w:rPr>
              <w:t xml:space="preserve">Go net/http (standard library)</w:t>
            </w:r>
          </w:p>
        </w:tc>
        <w:tc>
          <w:tcPr>
            <w:tcW w:w="5000" w:type="dxa"/>
          </w:tcPr>
          <w:p>
            <w:r>
              <w:rPr>
                <w:sz w:val="20"/>
                <w:rFonts w:ascii="Calibri" w:hAnsi="Calibri"/>
              </w:rPr>
              <w:t xml:space="preserve">Built-in, no Apache/Nginx required</w:t>
            </w:r>
          </w:p>
        </w:tc>
      </w:tr>
      <w:tr>
        <w:tc>
          <w:tcPr>
            <w:tcW w:w="5000" w:type="dxa"/>
          </w:tcPr>
          <w:p>
            <w:r>
              <w:rPr>
                <w:sz w:val="20"/>
                <w:rFonts w:ascii="Calibri" w:hAnsi="Calibri"/>
              </w:rPr>
              <w:t xml:space="preserve">Desktop Interface</w:t>
            </w:r>
          </w:p>
        </w:tc>
        <w:tc>
          <w:tcPr>
            <w:tcW w:w="5000" w:type="dxa"/>
          </w:tcPr>
          <w:p>
            <w:r>
              <w:rPr>
                <w:sz w:val="20"/>
                <w:rFonts w:ascii="Calibri" w:hAnsi="Calibri"/>
              </w:rPr>
              <w:t xml:space="preserve">WebView2 (Microsoft Edge)</w:t>
            </w:r>
          </w:p>
        </w:tc>
        <w:tc>
          <w:tcPr>
            <w:tcW w:w="5000" w:type="dxa"/>
          </w:tcPr>
          <w:p>
            <w:r>
              <w:rPr>
                <w:sz w:val="20"/>
                <w:rFonts w:ascii="Calibri" w:hAnsi="Calibri"/>
              </w:rPr>
              <w:t xml:space="preserve">Native Windows experience</w:t>
            </w:r>
          </w:p>
        </w:tc>
      </w:tr>
      <w:tr>
        <w:tc>
          <w:tcPr>
            <w:tcW w:w="5000" w:type="dxa"/>
          </w:tcPr>
          <w:p>
            <w:r>
              <w:rPr>
                <w:sz w:val="20"/>
                <w:rFonts w:ascii="Calibri" w:hAnsi="Calibri"/>
              </w:rPr>
              <w:t xml:space="preserve">Frontend</w:t>
            </w:r>
          </w:p>
        </w:tc>
        <w:tc>
          <w:tcPr>
            <w:tcW w:w="5000" w:type="dxa"/>
          </w:tcPr>
          <w:p>
            <w:r>
              <w:rPr>
                <w:sz w:val="20"/>
                <w:rFonts w:ascii="Calibri" w:hAnsi="Calibri"/>
              </w:rPr>
              <w:t xml:space="preserve">HTML5, CSS3, Vanilla JavaScript</w:t>
            </w:r>
          </w:p>
        </w:tc>
        <w:tc>
          <w:tcPr>
            <w:tcW w:w="5000" w:type="dxa"/>
          </w:tcPr>
          <w:p>
            <w:r>
              <w:rPr>
                <w:sz w:val="20"/>
                <w:rFonts w:ascii="Calibri" w:hAnsi="Calibri"/>
              </w:rPr>
              <w:t xml:space="preserve">No build tools or frameworks required</w:t>
            </w:r>
          </w:p>
        </w:tc>
      </w:tr>
      <w:tr>
        <w:tc>
          <w:tcPr>
            <w:tcW w:w="5000" w:type="dxa"/>
          </w:tcPr>
          <w:p>
            <w:r>
              <w:rPr>
                <w:sz w:val="20"/>
                <w:rFonts w:ascii="Calibri" w:hAnsi="Calibri"/>
              </w:rPr>
              <w:t xml:space="preserve">Mapping</w:t>
            </w:r>
          </w:p>
        </w:tc>
        <w:tc>
          <w:tcPr>
            <w:tcW w:w="5000" w:type="dxa"/>
          </w:tcPr>
          <w:p>
            <w:r>
              <w:rPr>
                <w:sz w:val="20"/>
                <w:rFonts w:ascii="Calibri" w:hAnsi="Calibri"/>
              </w:rPr>
              <w:t xml:space="preserve">Leaflet.js + OpenStreetMap</w:t>
            </w:r>
          </w:p>
        </w:tc>
        <w:tc>
          <w:tcPr>
            <w:tcW w:w="5000" w:type="dxa"/>
          </w:tcPr>
          <w:p>
            <w:r>
              <w:rPr>
                <w:sz w:val="20"/>
                <w:rFonts w:ascii="Calibri" w:hAnsi="Calibri"/>
              </w:rPr>
              <w:t xml:space="preserve">Free, no API key required</w:t>
            </w:r>
          </w:p>
        </w:tc>
      </w:tr>
      <w:tr>
        <w:tc>
          <w:tcPr>
            <w:tcW w:w="5000" w:type="dxa"/>
          </w:tcPr>
          <w:p>
            <w:r>
              <w:rPr>
                <w:sz w:val="20"/>
                <w:rFonts w:ascii="Calibri" w:hAnsi="Calibri"/>
              </w:rPr>
              <w:t xml:space="preserve">Authentication</w:t>
            </w:r>
          </w:p>
        </w:tc>
        <w:tc>
          <w:tcPr>
            <w:tcW w:w="5000" w:type="dxa"/>
          </w:tcPr>
          <w:p>
            <w:r>
              <w:rPr>
                <w:sz w:val="20"/>
                <w:rFonts w:ascii="Calibri" w:hAnsi="Calibri"/>
              </w:rPr>
              <w:t xml:space="preserve">JWT (HMAC-SHA256) + bcrypt</w:t>
            </w:r>
          </w:p>
        </w:tc>
        <w:tc>
          <w:tcPr>
            <w:tcW w:w="5000" w:type="dxa"/>
          </w:tcPr>
          <w:p>
            <w:r>
              <w:rPr>
                <w:sz w:val="20"/>
                <w:rFonts w:ascii="Calibri" w:hAnsi="Calibri"/>
              </w:rPr>
              <w:t xml:space="preserve">Stateless, secure, portable</w:t>
            </w:r>
          </w:p>
        </w:tc>
      </w:tr>
    </w:tbl>
    <w:p>
      <w:pPr>
        <w:pStyle w:val="Heading2"/>
        <w:spacing w:before="240" w:after="120"/>
      </w:pPr>
      <w:r>
        <w:rPr>
          <w:rFonts w:ascii="Calibri" w:hAnsi="Calibri"/>
        </w:rPr>
        <w:t xml:space="preserve">3.2 Deployment Modes</w:t>
      </w:r>
    </w:p>
    <w:p>
      <w:pPr/>
      <w:r>
        <w:rPr>
          <w:sz w:val="22"/>
          <w:rFonts w:ascii="Calibri" w:hAnsi="Calibri"/>
        </w:rPr>
        <w:t xml:space="preserve">ServiceFlow operates in two distinct modes to accommodate varying infrastructure conditions:</w:t>
      </w:r>
    </w:p>
    <w:p>
      <w:pPr>
        <w:spacing w:before="120" w:after="60"/>
      </w:pPr>
      <w:r>
        <w:rPr>
          <w:sz w:val="22"/>
          <w:b/>
          <w:rFonts w:ascii="Calibri" w:hAnsi="Calibri"/>
        </w:rPr>
        <w:t xml:space="preserve">Desktop Mode (Default)</w:t>
      </w:r>
    </w:p>
    <w:p>
      <w:pPr/>
      <w:r>
        <w:rPr>
          <w:sz w:val="22"/>
          <w:rFonts w:ascii="Calibri" w:hAnsi="Calibri"/>
        </w:rPr>
        <w:t xml:space="preserve">The application opens as a native Windows window using WebView2. The backend server binds to 127.0.0.1 (localhost only) on a dynamically assigned port. This mode is suitable for business owners and administrators managing the platform from a single computer.</w:t>
      </w:r>
    </w:p>
    <w:p>
      <w:pPr>
        <w:spacing w:before="120" w:after="60"/>
      </w:pPr>
      <w:r>
        <w:rPr>
          <w:sz w:val="22"/>
          <w:b/>
          <w:rFonts w:ascii="Calibri" w:hAnsi="Calibri"/>
        </w:rPr>
        <w:t xml:space="preserve">Server Mode (Network Accessible)</w:t>
      </w:r>
    </w:p>
    <w:p>
      <w:pPr/>
      <w:r>
        <w:rPr>
          <w:sz w:val="22"/>
          <w:rFonts w:ascii="Calibri" w:hAnsi="Calibri"/>
        </w:rPr>
        <w:t xml:space="preserve">The application runs as a headless HTTP server bound to 0.0.0.0:&lt;port&gt; (default 8080). Any device on the same local network—mobile phones, tablets, laptops—can access the platform through a standard web browser without installing any software. This mode is ideal for deployment in community centres, business hubs, or local area networks where internet access is limited or unavailable.</w:t>
      </w:r>
    </w:p>
    <w:p>
      <w:pPr>
        <w:pStyle w:val="Heading2"/>
        <w:spacing w:before="240" w:after="120"/>
      </w:pPr>
      <w:r>
        <w:rPr>
          <w:rFonts w:ascii="Calibri" w:hAnsi="Calibri"/>
        </w:rPr>
        <w:t xml:space="preserve">3.3 Data Persistence</w:t>
      </w:r>
    </w:p>
    <w:p>
      <w:pPr/>
      <w:r>
        <w:rPr>
          <w:sz w:val="22"/>
          <w:rFonts w:ascii="Calibri" w:hAnsi="Calibri"/>
        </w:rPr>
        <w:t xml:space="preserve">All application data is stored in a single SQLite database file (serviceflow.db) created automatically in the same directory as the executable. The database contains all user accounts, business listings, products, reviews, advertisements, and system configuration. This eliminates the need for a separate database management system and simplifies backup and migration procedures.</w:t>
      </w:r>
    </w:p>
    <w:p>
      <w:pPr>
        <w:pStyle w:val="Heading1"/>
        <w:spacing w:before="240" w:after="120"/>
      </w:pPr>
      <w:r>
        <w:rPr>
          <w:rFonts w:ascii="Calibri" w:hAnsi="Calibri"/>
        </w:rPr>
        <w:t xml:space="preserve">4. Database Schema</w:t>
      </w:r>
    </w:p>
    <w:p>
      <w:pPr/>
      <w:r>
        <w:rPr>
          <w:sz w:val="22"/>
          <w:rFonts w:ascii="Calibri" w:hAnsi="Calibri"/>
        </w:rPr>
        <w:t xml:space="preserve">The platform uses ten relational tables to model the complete service delivery ecosystem. The schema is created automatically on first launch, requiring no manual database setup.</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00"/>
        <w:gridCol w:w="6000"/>
      </w:tblGrid>
      <w:tr>
        <w:tc>
          <w:tcPr>
            <w:tcW w:w="5000" w:type="dxa"/>
            <w:shd w:val="clear" w:color="auto" w:fill="1a365d"/>
          </w:tcPr>
          <w:p>
            <w:r>
              <w:rPr>
                <w:sz w:val="20"/>
                <w:b/>
                <w:rFonts w:ascii="Calibri" w:hAnsi="Calibri"/>
                <w:color w:val="FFFFFF"/>
              </w:rPr>
              <w:t xml:space="preserve">Table</w:t>
            </w:r>
          </w:p>
        </w:tc>
        <w:tc>
          <w:tcPr>
            <w:tcW w:w="5000" w:type="dxa"/>
            <w:shd w:val="clear" w:color="auto" w:fill="1a365d"/>
          </w:tcPr>
          <w:p>
            <w:r>
              <w:rPr>
                <w:sz w:val="20"/>
                <w:b/>
                <w:rFonts w:ascii="Calibri" w:hAnsi="Calibri"/>
                <w:color w:val="FFFFFF"/>
              </w:rPr>
              <w:t xml:space="preserve">Purpose</w:t>
            </w:r>
          </w:p>
        </w:tc>
      </w:tr>
      <w:tr>
        <w:tc>
          <w:tcPr>
            <w:tcW w:w="5000" w:type="dxa"/>
          </w:tcPr>
          <w:p>
            <w:r>
              <w:rPr>
                <w:sz w:val="20"/>
                <w:rFonts w:ascii="Calibri" w:hAnsi="Calibri"/>
              </w:rPr>
              <w:t xml:space="preserve">users</w:t>
            </w:r>
          </w:p>
        </w:tc>
        <w:tc>
          <w:tcPr>
            <w:tcW w:w="5000" w:type="dxa"/>
          </w:tcPr>
          <w:p>
            <w:r>
              <w:rPr>
                <w:sz w:val="20"/>
                <w:rFonts w:ascii="Calibri" w:hAnsi="Calibri"/>
              </w:rPr>
              <w:t xml:space="preserve">User accounts with roles (customer, business_owner, admin) and authentication</w:t>
            </w:r>
          </w:p>
        </w:tc>
      </w:tr>
      <w:tr>
        <w:tc>
          <w:tcPr>
            <w:tcW w:w="5000" w:type="dxa"/>
          </w:tcPr>
          <w:p>
            <w:r>
              <w:rPr>
                <w:sz w:val="20"/>
                <w:rFonts w:ascii="Calibri" w:hAnsi="Calibri"/>
              </w:rPr>
              <w:t xml:space="preserve">businesses</w:t>
            </w:r>
          </w:p>
        </w:tc>
        <w:tc>
          <w:tcPr>
            <w:tcW w:w="5000" w:type="dxa"/>
          </w:tcPr>
          <w:p>
            <w:r>
              <w:rPr>
                <w:sz w:val="20"/>
                <w:rFonts w:ascii="Calibri" w:hAnsi="Calibri"/>
              </w:rPr>
              <w:t xml:space="preserve">Business listings with location, contact, delivery options, and status flags</w:t>
            </w:r>
          </w:p>
        </w:tc>
      </w:tr>
      <w:tr>
        <w:tc>
          <w:tcPr>
            <w:tcW w:w="5000" w:type="dxa"/>
          </w:tcPr>
          <w:p>
            <w:r>
              <w:rPr>
                <w:sz w:val="20"/>
                <w:rFonts w:ascii="Calibri" w:hAnsi="Calibri"/>
              </w:rPr>
              <w:t xml:space="preserve">products</w:t>
            </w:r>
          </w:p>
        </w:tc>
        <w:tc>
          <w:tcPr>
            <w:tcW w:w="5000" w:type="dxa"/>
          </w:tcPr>
          <w:p>
            <w:r>
              <w:rPr>
                <w:sz w:val="20"/>
                <w:rFonts w:ascii="Calibri" w:hAnsi="Calibri"/>
              </w:rPr>
              <w:t xml:space="preserve">Product inventory records for each business</w:t>
            </w:r>
          </w:p>
        </w:tc>
      </w:tr>
      <w:tr>
        <w:tc>
          <w:tcPr>
            <w:tcW w:w="5000" w:type="dxa"/>
          </w:tcPr>
          <w:p>
            <w:r>
              <w:rPr>
                <w:sz w:val="20"/>
                <w:rFonts w:ascii="Calibri" w:hAnsi="Calibri"/>
              </w:rPr>
              <w:t xml:space="preserve">queries</w:t>
            </w:r>
          </w:p>
        </w:tc>
        <w:tc>
          <w:tcPr>
            <w:tcW w:w="5000" w:type="dxa"/>
          </w:tcPr>
          <w:p>
            <w:r>
              <w:rPr>
                <w:sz w:val="20"/>
                <w:rFonts w:ascii="Calibri" w:hAnsi="Calibri"/>
              </w:rPr>
              <w:t xml:space="preserve">Customer inquiries directed to businesses</w:t>
            </w:r>
          </w:p>
        </w:tc>
      </w:tr>
      <w:tr>
        <w:tc>
          <w:tcPr>
            <w:tcW w:w="5000" w:type="dxa"/>
          </w:tcPr>
          <w:p>
            <w:r>
              <w:rPr>
                <w:sz w:val="20"/>
                <w:rFonts w:ascii="Calibri" w:hAnsi="Calibri"/>
              </w:rPr>
              <w:t xml:space="preserve">premium_plans</w:t>
            </w:r>
          </w:p>
        </w:tc>
        <w:tc>
          <w:tcPr>
            <w:tcW w:w="5000" w:type="dxa"/>
          </w:tcPr>
          <w:p>
            <w:r>
              <w:rPr>
                <w:sz w:val="20"/>
                <w:rFonts w:ascii="Calibri" w:hAnsi="Calibri"/>
              </w:rPr>
              <w:t xml:space="preserve">Subscription tiers offering enhanced platform features</w:t>
            </w:r>
          </w:p>
        </w:tc>
      </w:tr>
      <w:tr>
        <w:tc>
          <w:tcPr>
            <w:tcW w:w="5000" w:type="dxa"/>
          </w:tcPr>
          <w:p>
            <w:r>
              <w:rPr>
                <w:sz w:val="20"/>
                <w:rFonts w:ascii="Calibri" w:hAnsi="Calibri"/>
              </w:rPr>
              <w:t xml:space="preserve">ads</w:t>
            </w:r>
          </w:p>
        </w:tc>
        <w:tc>
          <w:tcPr>
            <w:tcW w:w="5000" w:type="dxa"/>
          </w:tcPr>
          <w:p>
            <w:r>
              <w:rPr>
                <w:sz w:val="20"/>
                <w:rFonts w:ascii="Calibri" w:hAnsi="Calibri"/>
              </w:rPr>
              <w:t xml:space="preserve">Advertisement requests subject to administrative approval</w:t>
            </w:r>
          </w:p>
        </w:tc>
      </w:tr>
      <w:tr>
        <w:tc>
          <w:tcPr>
            <w:tcW w:w="5000" w:type="dxa"/>
          </w:tcPr>
          <w:p>
            <w:r>
              <w:rPr>
                <w:sz w:val="20"/>
                <w:rFonts w:ascii="Calibri" w:hAnsi="Calibri"/>
              </w:rPr>
              <w:t xml:space="preserve">reviews</w:t>
            </w:r>
          </w:p>
        </w:tc>
        <w:tc>
          <w:tcPr>
            <w:tcW w:w="5000" w:type="dxa"/>
          </w:tcPr>
          <w:p>
            <w:r>
              <w:rPr>
                <w:sz w:val="20"/>
                <w:rFonts w:ascii="Calibri" w:hAnsi="Calibri"/>
              </w:rPr>
              <w:t xml:space="preserve">Customer ratings and comments for businesses</w:t>
            </w:r>
          </w:p>
        </w:tc>
      </w:tr>
      <w:tr>
        <w:tc>
          <w:tcPr>
            <w:tcW w:w="5000" w:type="dxa"/>
          </w:tcPr>
          <w:p>
            <w:r>
              <w:rPr>
                <w:sz w:val="20"/>
                <w:rFonts w:ascii="Calibri" w:hAnsi="Calibri"/>
              </w:rPr>
              <w:t xml:space="preserve">newsletter</w:t>
            </w:r>
          </w:p>
        </w:tc>
        <w:tc>
          <w:tcPr>
            <w:tcW w:w="5000" w:type="dxa"/>
          </w:tcPr>
          <w:p>
            <w:r>
              <w:rPr>
                <w:sz w:val="20"/>
                <w:rFonts w:ascii="Calibri" w:hAnsi="Calibri"/>
              </w:rPr>
              <w:t xml:space="preserve">Email subscriptions for platform updates</w:t>
            </w:r>
          </w:p>
        </w:tc>
      </w:tr>
      <w:tr>
        <w:tc>
          <w:tcPr>
            <w:tcW w:w="5000" w:type="dxa"/>
          </w:tcPr>
          <w:p>
            <w:r>
              <w:rPr>
                <w:sz w:val="20"/>
                <w:rFonts w:ascii="Calibri" w:hAnsi="Calibri"/>
              </w:rPr>
              <w:t xml:space="preserve">contact_messages</w:t>
            </w:r>
          </w:p>
        </w:tc>
        <w:tc>
          <w:tcPr>
            <w:tcW w:w="5000" w:type="dxa"/>
          </w:tcPr>
          <w:p>
            <w:r>
              <w:rPr>
                <w:sz w:val="20"/>
                <w:rFonts w:ascii="Calibri" w:hAnsi="Calibri"/>
              </w:rPr>
              <w:t xml:space="preserve">General inquiries submitted through the contact form</w:t>
            </w:r>
          </w:p>
        </w:tc>
      </w:tr>
    </w:tbl>
    <w:p>
      <w:pPr/>
      <w:r>
        <w:rPr>
          <w:sz w:val="22"/>
          <w:rFonts w:ascii="Calibri" w:hAnsi="Calibri"/>
        </w:rPr>
        <w:t xml:space="preserve">An administrative account is automatically provisioned on first launch to enable immediate platform management. Default credentials: email admin@serviceflow.com, password admin123.</w:t>
      </w:r>
    </w:p>
    <w:p>
      <w:pPr>
        <w:pStyle w:val="Heading1"/>
        <w:spacing w:before="240" w:after="120"/>
      </w:pPr>
      <w:r>
        <w:rPr>
          <w:rFonts w:ascii="Calibri" w:hAnsi="Calibri"/>
        </w:rPr>
        <w:t xml:space="preserve">5. API Endpoints</w:t>
      </w:r>
    </w:p>
    <w:p>
      <w:pPr/>
      <w:r>
        <w:rPr>
          <w:sz w:val="22"/>
          <w:rFonts w:ascii="Calibri" w:hAnsi="Calibri"/>
        </w:rPr>
        <w:t xml:space="preserve">The platform exposes a RESTful JSON API organised by functional domain. All endpoints return JSON responses and use JWT tokens for authenticated requests where required.</w:t>
      </w:r>
    </w:p>
    <w:p>
      <w:pPr>
        <w:pStyle w:val="Heading2"/>
        <w:spacing w:before="240" w:after="120"/>
      </w:pPr>
      <w:r>
        <w:rPr>
          <w:rFonts w:ascii="Calibri" w:hAnsi="Calibri"/>
        </w:rPr>
        <w:t xml:space="preserve">5.1 Authentication</w:t>
      </w:r>
    </w:p>
    <w:p>
      <w:pPr/>
      <w:r>
        <w:rPr>
          <w:sz w:val="22"/>
          <w:rFonts w:ascii="Calibri" w:hAnsi="Calibri"/>
        </w:rPr>
        <w:t xml:space="preserve">POST /api/auth/register — Register a new user account with role selection (customer or business_owner).</w:t>
      </w:r>
    </w:p>
    <w:p>
      <w:pPr/>
      <w:r>
        <w:rPr>
          <w:sz w:val="22"/>
          <w:rFonts w:ascii="Calibri" w:hAnsi="Calibri"/>
        </w:rPr>
        <w:t xml:space="preserve">POST /api/auth/login — Authenticate user credentials and receive a JWT token for subsequent requests.</w:t>
      </w:r>
    </w:p>
    <w:p>
      <w:pPr/>
      <w:r>
        <w:rPr>
          <w:sz w:val="22"/>
          <w:rFonts w:ascii="Calibri" w:hAnsi="Calibri"/>
        </w:rPr>
        <w:t xml:space="preserve">GET /api/auth/me — Retrieve the profile of the currently authenticated user.</w:t>
      </w:r>
    </w:p>
    <w:p>
      <w:pPr>
        <w:pStyle w:val="Heading2"/>
        <w:spacing w:before="240" w:after="120"/>
      </w:pPr>
      <w:r>
        <w:rPr>
          <w:rFonts w:ascii="Calibri" w:hAnsi="Calibri"/>
        </w:rPr>
        <w:t xml:space="preserve">5.2 Business Operations</w:t>
      </w:r>
    </w:p>
    <w:p>
      <w:pPr/>
      <w:r>
        <w:rPr>
          <w:sz w:val="22"/>
          <w:rFonts w:ascii="Calibri" w:hAnsi="Calibri"/>
        </w:rPr>
        <w:t xml:space="preserve">GET /api/businesses — Search and filter businesses by category, keyword, or delivery availability. Results are sorted by proximity when geolocation is available.</w:t>
      </w:r>
    </w:p>
    <w:p>
      <w:pPr/>
      <w:r>
        <w:rPr>
          <w:sz w:val="22"/>
          <w:rFonts w:ascii="Calibri" w:hAnsi="Calibri"/>
        </w:rPr>
        <w:t xml:space="preserve">POST /api/businesses — Register a new business listing (requires business_owner role).</w:t>
      </w:r>
    </w:p>
    <w:p>
      <w:pPr/>
      <w:r>
        <w:rPr>
          <w:sz w:val="22"/>
          <w:rFonts w:ascii="Calibri" w:hAnsi="Calibri"/>
        </w:rPr>
        <w:t xml:space="preserve">GET /api/businesses/{id} — Retrieve full business details including products and customer reviews.</w:t>
      </w:r>
    </w:p>
    <w:p>
      <w:pPr>
        <w:pStyle w:val="Heading2"/>
        <w:spacing w:before="240" w:after="120"/>
      </w:pPr>
      <w:r>
        <w:rPr>
          <w:rFonts w:ascii="Calibri" w:hAnsi="Calibri"/>
        </w:rPr>
        <w:t xml:space="preserve">5.3 Product Management</w:t>
      </w:r>
    </w:p>
    <w:p>
      <w:pPr/>
      <w:r>
        <w:rPr>
          <w:sz w:val="22"/>
          <w:rFonts w:ascii="Calibri" w:hAnsi="Calibri"/>
        </w:rPr>
        <w:t xml:space="preserve">POST /api/businesses/{id}/products — Add a product to a business inventory (owner only).</w:t>
      </w:r>
    </w:p>
    <w:p>
      <w:pPr>
        <w:pStyle w:val="Heading2"/>
        <w:spacing w:before="240" w:after="120"/>
      </w:pPr>
      <w:r>
        <w:rPr>
          <w:rFonts w:ascii="Calibri" w:hAnsi="Calibri"/>
        </w:rPr>
        <w:t xml:space="preserve">5.4 Customer Engagement</w:t>
      </w:r>
    </w:p>
    <w:p>
      <w:pPr/>
      <w:r>
        <w:rPr>
          <w:sz w:val="22"/>
          <w:rFonts w:ascii="Calibri" w:hAnsi="Calibri"/>
        </w:rPr>
        <w:t xml:space="preserve">POST /api/businesses/{id}/queries — Submit a customer inquiry to a business (priority queuing for premium subscribers).</w:t>
      </w:r>
    </w:p>
    <w:p>
      <w:pPr/>
      <w:r>
        <w:rPr>
          <w:sz w:val="22"/>
          <w:rFonts w:ascii="Calibri" w:hAnsi="Calibri"/>
        </w:rPr>
        <w:t xml:space="preserve">POST /api/reviews — Submit a product or service review with a star rating between one and five.</w:t>
      </w:r>
    </w:p>
    <w:p>
      <w:pPr/>
      <w:r>
        <w:rPr>
          <w:sz w:val="22"/>
          <w:rFonts w:ascii="Calibri" w:hAnsi="Calibri"/>
        </w:rPr>
        <w:t xml:space="preserve">POST /api/newsletter — Subscribe an email address to platform updates and announcements.</w:t>
      </w:r>
    </w:p>
    <w:p>
      <w:pPr/>
      <w:r>
        <w:rPr>
          <w:sz w:val="22"/>
          <w:rFonts w:ascii="Calibri" w:hAnsi="Calibri"/>
        </w:rPr>
        <w:t xml:space="preserve">POST /api/contact — Submit a general inquiry through the contact form.</w:t>
      </w:r>
    </w:p>
    <w:p>
      <w:pPr>
        <w:pStyle w:val="Heading2"/>
        <w:spacing w:before="240" w:after="120"/>
      </w:pPr>
      <w:r>
        <w:rPr>
          <w:rFonts w:ascii="Calibri" w:hAnsi="Calibri"/>
        </w:rPr>
        <w:t xml:space="preserve">5.5 Premium Services</w:t>
      </w:r>
    </w:p>
    <w:p>
      <w:pPr/>
      <w:r>
        <w:rPr>
          <w:sz w:val="22"/>
          <w:rFonts w:ascii="Calibri" w:hAnsi="Calibri"/>
        </w:rPr>
        <w:t xml:space="preserve">GET /api/premium-plans — List all available subscription plans with pricing and feature details.</w:t>
      </w:r>
    </w:p>
    <w:p>
      <w:pPr/>
      <w:r>
        <w:rPr>
          <w:sz w:val="22"/>
          <w:rFonts w:ascii="Calibri" w:hAnsi="Calibri"/>
        </w:rPr>
        <w:t xml:space="preserve">POST /api/premium/subscribe — Activate a premium subscription for the authenticated user.</w:t>
      </w:r>
    </w:p>
    <w:p>
      <w:pPr>
        <w:pStyle w:val="Heading2"/>
        <w:spacing w:before="240" w:after="120"/>
      </w:pPr>
      <w:r>
        <w:rPr>
          <w:rFonts w:ascii="Calibri" w:hAnsi="Calibri"/>
        </w:rPr>
        <w:t xml:space="preserve">5.6 Advertising</w:t>
      </w:r>
    </w:p>
    <w:p>
      <w:pPr/>
      <w:r>
        <w:rPr>
          <w:sz w:val="22"/>
          <w:rFonts w:ascii="Calibri" w:hAnsi="Calibri"/>
        </w:rPr>
        <w:t xml:space="preserve">POST /api/ads/request — Submit an advertisement request for administrative review and approval.</w:t>
      </w:r>
    </w:p>
    <w:p>
      <w:pPr/>
      <w:r>
        <w:rPr>
          <w:sz w:val="22"/>
          <w:rFonts w:ascii="Calibri" w:hAnsi="Calibri"/>
        </w:rPr>
        <w:t xml:space="preserve">GET /api/ads — Retrieve all currently approved advertisements.</w:t>
      </w:r>
    </w:p>
    <w:p>
      <w:pPr>
        <w:pStyle w:val="Heading2"/>
        <w:spacing w:before="240" w:after="120"/>
      </w:pPr>
      <w:r>
        <w:rPr>
          <w:rFonts w:ascii="Calibri" w:hAnsi="Calibri"/>
        </w:rPr>
        <w:t xml:space="preserve">5.7 Discovery</w:t>
      </w:r>
    </w:p>
    <w:p>
      <w:pPr/>
      <w:r>
        <w:rPr>
          <w:sz w:val="22"/>
          <w:rFonts w:ascii="Calibri" w:hAnsi="Calibri"/>
        </w:rPr>
        <w:t xml:space="preserve">GET /api/featured — Retrieve featured businesses for display on the homepage carousel.</w:t>
      </w:r>
    </w:p>
    <w:p>
      <w:pPr/>
      <w:r>
        <w:rPr>
          <w:sz w:val="22"/>
          <w:rFonts w:ascii="Calibri" w:hAnsi="Calibri"/>
        </w:rPr>
        <w:t xml:space="preserve">GET /api/categories — List all distinct business and product categories in the platform.</w:t>
      </w:r>
    </w:p>
    <w:p>
      <w:pPr>
        <w:pStyle w:val="Heading2"/>
        <w:spacing w:before="240" w:after="120"/>
      </w:pPr>
      <w:r>
        <w:rPr>
          <w:rFonts w:ascii="Calibri" w:hAnsi="Calibri"/>
        </w:rPr>
        <w:t xml:space="preserve">5.8 Administration</w:t>
      </w:r>
    </w:p>
    <w:p>
      <w:pPr/>
      <w:r>
        <w:rPr>
          <w:sz w:val="22"/>
          <w:rFonts w:ascii="Calibri" w:hAnsi="Calibri"/>
        </w:rPr>
        <w:t xml:space="preserve">All administrative endpoints require authentication with the admin role. Unauthorised access returns a 403 Forbidden response.</w:t>
      </w:r>
    </w:p>
    <w:p>
      <w:pPr/>
      <w:r>
        <w:rPr>
          <w:sz w:val="22"/>
          <w:rFonts w:ascii="Calibri" w:hAnsi="Calibri"/>
        </w:rPr>
        <w:t xml:space="preserve">GET /api/admin/stats — Retrieve platform-wide statistics including user counts, businesses, products, and pending advertisements.</w:t>
      </w:r>
    </w:p>
    <w:p>
      <w:pPr/>
      <w:r>
        <w:rPr>
          <w:sz w:val="22"/>
          <w:rFonts w:ascii="Calibri" w:hAnsi="Calibri"/>
        </w:rPr>
        <w:t xml:space="preserve">GET /api/admin/businesses — List all registered businesses with their current status flags.</w:t>
      </w:r>
    </w:p>
    <w:p>
      <w:pPr/>
      <w:r>
        <w:rPr>
          <w:sz w:val="22"/>
          <w:rFonts w:ascii="Calibri" w:hAnsi="Calibri"/>
        </w:rPr>
        <w:t xml:space="preserve">PUT /api/admin/businesses/{bid} — Update a business listing's active, featured, or verified status.</w:t>
      </w:r>
    </w:p>
    <w:p>
      <w:pPr/>
      <w:r>
        <w:rPr>
          <w:sz w:val="22"/>
          <w:rFonts w:ascii="Calibri" w:hAnsi="Calibri"/>
        </w:rPr>
        <w:t xml:space="preserve">GET /api/admin/ads — List all advertisement requests across all statuses.</w:t>
      </w:r>
    </w:p>
    <w:p>
      <w:pPr/>
      <w:r>
        <w:rPr>
          <w:sz w:val="22"/>
          <w:rFonts w:ascii="Calibri" w:hAnsi="Calibri"/>
        </w:rPr>
        <w:t xml:space="preserve">PUT /api/admin/ads/{aid}/approve — Approve a pending advertisement for public display.</w:t>
      </w:r>
    </w:p>
    <w:p>
      <w:pPr/>
      <w:r>
        <w:rPr>
          <w:sz w:val="22"/>
          <w:rFonts w:ascii="Calibri" w:hAnsi="Calibri"/>
        </w:rPr>
        <w:t xml:space="preserve">PUT /api/admin/ads/{aid}/reject — Reject an advertisement request.</w:t>
      </w:r>
    </w:p>
    <w:p>
      <w:pPr/>
      <w:r>
        <w:rPr>
          <w:sz w:val="22"/>
          <w:rFonts w:ascii="Calibri" w:hAnsi="Calibri"/>
        </w:rPr>
        <w:t xml:space="preserve">GET /api/admin/users — List all registered users with their roles and premium status.</w:t>
      </w:r>
    </w:p>
    <w:p>
      <w:pPr/>
      <w:r>
        <w:rPr>
          <w:sz w:val="22"/>
          <w:rFonts w:ascii="Calibri" w:hAnsi="Calibri"/>
        </w:rPr>
        <w:t xml:space="preserve">PUT /api/admin/users/{uid} — Update a user's role or premium subscription status.</w:t>
      </w:r>
    </w:p>
    <w:p>
      <w:pPr/>
      <w:r>
        <w:rPr>
          <w:sz w:val="22"/>
          <w:rFonts w:ascii="Calibri" w:hAnsi="Calibri"/>
        </w:rPr>
        <w:t xml:space="preserve">GET /api/admin/queries — View all customer queries submitted across the platform.</w:t>
      </w:r>
    </w:p>
    <w:p>
      <w:pPr>
        <w:pStyle w:val="Heading1"/>
        <w:spacing w:before="240" w:after="120"/>
      </w:pPr>
      <w:r>
        <w:rPr>
          <w:rFonts w:ascii="Calibri" w:hAnsi="Calibri"/>
        </w:rPr>
        <w:t xml:space="preserve">6. Frontend Features</w:t>
      </w:r>
    </w:p>
    <w:p>
      <w:pPr>
        <w:pStyle w:val="Heading2"/>
        <w:spacing w:before="240" w:after="120"/>
      </w:pPr>
      <w:r>
        <w:rPr>
          <w:rFonts w:ascii="Calibri" w:hAnsi="Calibri"/>
        </w:rPr>
        <w:t xml:space="preserve">6.1 User Interface</w:t>
      </w:r>
    </w:p>
    <w:p>
      <w:pPr/>
      <w:r>
        <w:rPr>
          <w:sz w:val="22"/>
          <w:rFonts w:ascii="Calibri" w:hAnsi="Calibri"/>
        </w:rPr>
        <w:t xml:space="preserve">The frontend is a single-page application embedded within the Go binary, eliminating external file dependencies. All HTML, CSS, and JavaScript are served from the executable itself. The interface comprises nine distinct pages:</w:t>
      </w:r>
    </w:p>
    <w:p>
      <w:pPr/>
      <w:r>
        <w:rPr>
          <w:sz w:val="22"/>
          <w:rFonts w:ascii="Calibri" w:hAnsi="Calibri"/>
        </w:rPr>
        <w:t xml:space="preserve">Home page with hero section, call-to-action buttons, featured businesses carousel, advertisement rotation, feature highlight cards, and newsletter subscription form.</w:t>
      </w:r>
    </w:p>
    <w:p>
      <w:pPr/>
      <w:r>
        <w:rPr>
          <w:sz w:val="22"/>
          <w:rFonts w:ascii="Calibri" w:hAnsi="Calibri"/>
        </w:rPr>
        <w:t xml:space="preserve">Search page with full-text search across businesses and products, category filtering, delivery option filtering, and geolocation-based distance sorting using the Haversine formula.</w:t>
      </w:r>
    </w:p>
    <w:p>
      <w:pPr/>
      <w:r>
        <w:rPr>
          <w:sz w:val="22"/>
          <w:rFonts w:ascii="Calibri" w:hAnsi="Calibri"/>
        </w:rPr>
        <w:t xml:space="preserve">Business Detail page with comprehensive business view including an interactive map (Leaflet.js with OpenStreetMap tiles), product inventory with stock level indicators, customer review display with star ratings, and a query submission form.</w:t>
      </w:r>
    </w:p>
    <w:p>
      <w:pPr/>
      <w:r>
        <w:rPr>
          <w:sz w:val="22"/>
          <w:rFonts w:ascii="Calibri" w:hAnsi="Calibri"/>
        </w:rPr>
        <w:t xml:space="preserve">Authentication pages for user registration and login with role selection.</w:t>
      </w:r>
    </w:p>
    <w:p>
      <w:pPr/>
      <w:r>
        <w:rPr>
          <w:sz w:val="22"/>
          <w:rFonts w:ascii="Calibri" w:hAnsi="Calibri"/>
        </w:rPr>
        <w:t xml:space="preserve">Business Registration page for listing a new business with automatic address geocoding via Nominatim.</w:t>
      </w:r>
    </w:p>
    <w:p>
      <w:pPr/>
      <w:r>
        <w:rPr>
          <w:sz w:val="22"/>
          <w:rFonts w:ascii="Calibri" w:hAnsi="Calibri"/>
        </w:rPr>
        <w:t xml:space="preserve">Advertisement Request page for business owners to submit promotional content for administrative review.</w:t>
      </w:r>
    </w:p>
    <w:p>
      <w:pPr/>
      <w:r>
        <w:rPr>
          <w:sz w:val="22"/>
          <w:rFonts w:ascii="Calibri" w:hAnsi="Calibri"/>
        </w:rPr>
        <w:t xml:space="preserve">Premium Plans page displaying subscription tier options with pricing and feature comparisons.</w:t>
      </w:r>
    </w:p>
    <w:p>
      <w:pPr/>
      <w:r>
        <w:rPr>
          <w:sz w:val="22"/>
          <w:rFonts w:ascii="Calibri" w:hAnsi="Calibri"/>
        </w:rPr>
        <w:t xml:space="preserve">Contact page for submitting general inquiries.</w:t>
      </w:r>
    </w:p>
    <w:p>
      <w:pPr/>
      <w:r>
        <w:rPr>
          <w:sz w:val="22"/>
          <w:rFonts w:ascii="Calibri" w:hAnsi="Calibri"/>
        </w:rPr>
        <w:t xml:space="preserve">Administration Panel with dashboard displaying platform statistics, advertisement moderation interface, and user management tools.</w:t>
      </w:r>
    </w:p>
    <w:p>
      <w:pPr>
        <w:pStyle w:val="Heading2"/>
        <w:spacing w:before="240" w:after="120"/>
      </w:pPr>
      <w:r>
        <w:rPr>
          <w:rFonts w:ascii="Calibri" w:hAnsi="Calibri"/>
        </w:rPr>
        <w:t xml:space="preserve">6.2 Theme System</w:t>
      </w:r>
    </w:p>
    <w:p>
      <w:pPr/>
      <w:r>
        <w:rPr>
          <w:sz w:val="22"/>
          <w:rFonts w:ascii="Calibri" w:hAnsi="Calibri"/>
        </w:rPr>
        <w:t xml:space="preserve">The platform supports three visual themes to accommodate user preference and environmental lighting conditions: a Light Theme with white backgrounds and dark text as the default appearance; a Dark Theme with reduced luminance suitable for low-light environments; and a Custom Theme that allows users to select an accent colour with a complementary dark palette. Theme selection persists across sessions through browser local storage.</w:t>
      </w:r>
    </w:p>
    <w:p>
      <w:pPr>
        <w:pStyle w:val="Heading2"/>
        <w:spacing w:before="240" w:after="120"/>
      </w:pPr>
      <w:r>
        <w:rPr>
          <w:rFonts w:ascii="Calibri" w:hAnsi="Calibri"/>
        </w:rPr>
        <w:t xml:space="preserve">6.3 Responsive Design</w:t>
      </w:r>
    </w:p>
    <w:p>
      <w:pPr/>
      <w:r>
        <w:rPr>
          <w:sz w:val="22"/>
          <w:rFonts w:ascii="Calibri" w:hAnsi="Calibri"/>
        </w:rPr>
        <w:t xml:space="preserve">The interface employs CSS Grid and Flexbox layouts with relative units to adapt to varying screen sizes, from desktop monitors to mobile device viewports. A dedicated media query at 640 pixels width adjusts navigation elements and card layouts for smaller screens, ensuring usability across the full range of devices that may access the platform.</w:t>
      </w:r>
    </w:p>
    <w:p>
      <w:pPr>
        <w:pStyle w:val="Heading1"/>
        <w:spacing w:before="240" w:after="120"/>
      </w:pPr>
      <w:r>
        <w:rPr>
          <w:rFonts w:ascii="Calibri" w:hAnsi="Calibri"/>
        </w:rPr>
        <w:t xml:space="preserve">7. Build and Deployment</w:t>
      </w:r>
    </w:p>
    <w:p>
      <w:pPr>
        <w:pStyle w:val="Heading2"/>
        <w:spacing w:before="240" w:after="120"/>
      </w:pPr>
      <w:r>
        <w:rPr>
          <w:rFonts w:ascii="Calibri" w:hAnsi="Calibri"/>
        </w:rPr>
        <w:t xml:space="preserve">7.1 Build Process</w:t>
      </w:r>
    </w:p>
    <w:p>
      <w:pPr/>
      <w:r>
        <w:rPr>
          <w:sz w:val="22"/>
          <w:rFonts w:ascii="Calibri" w:hAnsi="Calibri"/>
        </w:rPr>
        <w:t xml:space="preserve">The application is compiled into a single Windows executable using Go's cross-compilation capabilities. The complete build command is:</w:t>
      </w:r>
    </w:p>
    <w:p>
      <w:pPr/>
      <w:r>
        <w:rPr>
          <w:sz w:val="22"/>
          <w:rFonts w:ascii="Calibri" w:hAnsi="Calibri"/>
        </w:rPr>
        <w:t xml:space="preserve">GOOS=windows GOARCH=amd64 CGO_ENABLED=0 go build -ldflags="-H windowsgui -s -w" -o ServiceFlow.exe</w:t>
      </w:r>
    </w:p>
    <w:p>
      <w:pPr/>
      <w:r>
        <w:rPr>
          <w:sz w:val="22"/>
          <w:rFonts w:ascii="Calibri" w:hAnsi="Calibri"/>
        </w:rPr>
        <w:t xml:space="preserve">The build configuration serves specific purposes: GOOS=windows and GOARCH=amd64 target 64-bit Windows systems; CGO_ENABLED=0 disables C bindings for pure Go compilation and static linking; the -H windowsgui flag suppresses the console window for a native desktop application experience; and the -s -w flags strip debug information to reduce the final binary size to approximately 11 megabytes.</w:t>
      </w:r>
    </w:p>
    <w:p>
      <w:pPr>
        <w:pStyle w:val="Heading2"/>
        <w:spacing w:before="240" w:after="120"/>
      </w:pPr>
      <w:r>
        <w:rPr>
          <w:rFonts w:ascii="Calibri" w:hAnsi="Calibri"/>
        </w:rPr>
        <w:t xml:space="preserve">7.2 System Requirements</w:t>
      </w:r>
    </w:p>
    <w:p>
      <w:pPr/>
      <w:r>
        <w:rPr>
          <w:sz w:val="22"/>
          <w:rFonts w:ascii="Calibri" w:hAnsi="Calibri"/>
        </w:rPr>
        <w:t xml:space="preserve">The desktop executable runs on Windows 7 or later with Microsoft Edge WebView2 Runtime. Server mode has no additional requirements beyond a standard web browser on the client device. The application requires no installation, registry modifications, or administrative privileges.</w:t>
      </w:r>
    </w:p>
    <w:p>
      <w:pPr>
        <w:pStyle w:val="Heading2"/>
        <w:spacing w:before="240" w:after="120"/>
      </w:pPr>
      <w:r>
        <w:rPr>
          <w:rFonts w:ascii="Calibri" w:hAnsi="Calibri"/>
        </w:rPr>
        <w:t xml:space="preserve">7.3 Deployment</w:t>
      </w:r>
    </w:p>
    <w:p>
      <w:pPr/>
      <w:r>
        <w:rPr>
          <w:sz w:val="22"/>
          <w:rFonts w:ascii="Calibri" w:hAnsi="Calibri"/>
        </w:rPr>
        <w:t xml:space="preserve">Deployment consists of copying a single file—ServiceFlow.exe—to the target computer. The database file (serviceflow.db) is created automatically on first execution. No additional configuration, dependency installation, or system modification is necessary.</w:t>
      </w:r>
    </w:p>
    <w:p>
      <w:pPr>
        <w:pStyle w:val="Heading1"/>
        <w:spacing w:before="240" w:after="120"/>
      </w:pPr>
      <w:r>
        <w:rPr>
          <w:rFonts w:ascii="Calibri" w:hAnsi="Calibri"/>
        </w:rPr>
        <w:t xml:space="preserve">8. Usage Scenarios</w:t>
      </w:r>
    </w:p>
    <w:p>
      <w:pPr>
        <w:pStyle w:val="Heading2"/>
        <w:spacing w:before="240" w:after="120"/>
      </w:pPr>
      <w:r>
        <w:rPr>
          <w:rFonts w:ascii="Calibri" w:hAnsi="Calibri"/>
        </w:rPr>
        <w:t xml:space="preserve">8.1 Community Business Hub</w:t>
      </w:r>
    </w:p>
    <w:p>
      <w:pPr/>
      <w:r>
        <w:rPr>
          <w:sz w:val="22"/>
          <w:rFonts w:ascii="Calibri" w:hAnsi="Calibri"/>
        </w:rPr>
        <w:t xml:space="preserve">A local organisation deploys ServiceFlow in server mode on a desktop computer at a community centre. Residents visit the centre and access the platform from their mobile phones via the local Wi-Fi network, browsing business listings and product availability without consuming mobile data or requiring internet access.</w:t>
      </w:r>
    </w:p>
    <w:p>
      <w:pPr>
        <w:pStyle w:val="Heading2"/>
        <w:spacing w:before="240" w:after="120"/>
      </w:pPr>
      <w:r>
        <w:rPr>
          <w:rFonts w:ascii="Calibri" w:hAnsi="Calibri"/>
        </w:rPr>
        <w:t xml:space="preserve">8.2 Individual Business Listing</w:t>
      </w:r>
    </w:p>
    <w:p>
      <w:pPr/>
      <w:r>
        <w:rPr>
          <w:sz w:val="22"/>
          <w:rFonts w:ascii="Calibri" w:hAnsi="Calibri"/>
        </w:rPr>
        <w:t xml:space="preserve">A shop owner runs ServiceFlow in desktop mode on their personal computer, registers their business, adds products to inventory, and manages customer queries. The platform serves as a digital storefront without monthly subscription fees or technical complexity.</w:t>
      </w:r>
    </w:p>
    <w:p>
      <w:pPr>
        <w:pStyle w:val="Heading2"/>
        <w:spacing w:before="240" w:after="120"/>
      </w:pPr>
      <w:r>
        <w:rPr>
          <w:rFonts w:ascii="Calibri" w:hAnsi="Calibri"/>
        </w:rPr>
        <w:t xml:space="preserve">8.3 Municipal Deployment</w:t>
      </w:r>
    </w:p>
    <w:p>
      <w:pPr/>
      <w:r>
        <w:rPr>
          <w:sz w:val="22"/>
          <w:rFonts w:ascii="Calibri" w:hAnsi="Calibri"/>
        </w:rPr>
        <w:t xml:space="preserve">A local government office deploys ServiceFlow on a dedicated computer, registers all licensed businesses in the area, and makes the platform available to citizens through a public terminal or local network. The administration panel provides oversight and moderation capabilities for platform administrators.</w:t>
      </w:r>
    </w:p>
    <w:p>
      <w:pPr>
        <w:pStyle w:val="Heading1"/>
        <w:spacing w:before="240" w:after="120"/>
      </w:pPr>
      <w:r>
        <w:rPr>
          <w:rFonts w:ascii="Calibri" w:hAnsi="Calibri"/>
        </w:rPr>
        <w:t xml:space="preserve">9. Impact Assessment</w:t>
      </w:r>
    </w:p>
    <w:p>
      <w:pPr/>
      <w:r>
        <w:rPr>
          <w:sz w:val="22"/>
          <w:rFonts w:ascii="Calibri" w:hAnsi="Calibri"/>
        </w:rPr>
        <w:t xml:space="preserve">ServiceFlow addresses multiple dimensions of the service delivery challenge in Uganda:</w:t>
      </w:r>
    </w:p>
    <w:tbl>
      <w:tblPr>
        <w:tblW w:w="9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00"/>
        <w:gridCol w:w="6000"/>
      </w:tblGrid>
      <w:tr>
        <w:tc>
          <w:tcPr>
            <w:tcW w:w="5000" w:type="dxa"/>
            <w:shd w:val="clear" w:color="auto" w:fill="1a365d"/>
          </w:tcPr>
          <w:p>
            <w:r>
              <w:rPr>
                <w:sz w:val="20"/>
                <w:b/>
                <w:rFonts w:ascii="Calibri" w:hAnsi="Calibri"/>
                <w:color w:val="FFFFFF"/>
              </w:rPr>
              <w:t xml:space="preserve">Dimension</w:t>
            </w:r>
          </w:p>
        </w:tc>
        <w:tc>
          <w:tcPr>
            <w:tcW w:w="5000" w:type="dxa"/>
            <w:shd w:val="clear" w:color="auto" w:fill="1a365d"/>
          </w:tcPr>
          <w:p>
            <w:r>
              <w:rPr>
                <w:sz w:val="20"/>
                <w:b/>
                <w:rFonts w:ascii="Calibri" w:hAnsi="Calibri"/>
                <w:color w:val="FFFFFF"/>
              </w:rPr>
              <w:t xml:space="preserve">Impact</w:t>
            </w:r>
          </w:p>
        </w:tc>
      </w:tr>
      <w:tr>
        <w:tc>
          <w:tcPr>
            <w:tcW w:w="5000" w:type="dxa"/>
          </w:tcPr>
          <w:p>
            <w:r>
              <w:rPr>
                <w:sz w:val="20"/>
                <w:rFonts w:ascii="Calibri" w:hAnsi="Calibri"/>
              </w:rPr>
              <w:t xml:space="preserve">Time Efficiency</w:t>
            </w:r>
          </w:p>
        </w:tc>
        <w:tc>
          <w:tcPr>
            <w:tcW w:w="5000" w:type="dxa"/>
          </w:tcPr>
          <w:p>
            <w:r>
              <w:rPr>
                <w:sz w:val="20"/>
                <w:rFonts w:ascii="Calibri" w:hAnsi="Calibri"/>
              </w:rPr>
              <w:t xml:space="preserve">Citizens can verify product availability before travelling, reducing failed trips</w:t>
            </w:r>
          </w:p>
        </w:tc>
      </w:tr>
      <w:tr>
        <w:tc>
          <w:tcPr>
            <w:tcW w:w="5000" w:type="dxa"/>
          </w:tcPr>
          <w:p>
            <w:r>
              <w:rPr>
                <w:sz w:val="20"/>
                <w:rFonts w:ascii="Calibri" w:hAnsi="Calibri"/>
              </w:rPr>
              <w:t xml:space="preserve">Cost Reduction</w:t>
            </w:r>
          </w:p>
        </w:tc>
        <w:tc>
          <w:tcPr>
            <w:tcW w:w="5000" w:type="dxa"/>
          </w:tcPr>
          <w:p>
            <w:r>
              <w:rPr>
                <w:sz w:val="20"/>
                <w:rFonts w:ascii="Calibri" w:hAnsi="Calibri"/>
              </w:rPr>
              <w:t xml:space="preserve">Lower fuel and transport expenditure through informed purchasing decisions</w:t>
            </w:r>
          </w:p>
        </w:tc>
      </w:tr>
      <w:tr>
        <w:tc>
          <w:tcPr>
            <w:tcW w:w="5000" w:type="dxa"/>
          </w:tcPr>
          <w:p>
            <w:r>
              <w:rPr>
                <w:sz w:val="20"/>
                <w:rFonts w:ascii="Calibri" w:hAnsi="Calibri"/>
              </w:rPr>
              <w:t xml:space="preserve">Business Visibility</w:t>
            </w:r>
          </w:p>
        </w:tc>
        <w:tc>
          <w:tcPr>
            <w:tcW w:w="5000" w:type="dxa"/>
          </w:tcPr>
          <w:p>
            <w:r>
              <w:rPr>
                <w:sz w:val="20"/>
                <w:rFonts w:ascii="Calibri" w:hAnsi="Calibri"/>
              </w:rPr>
              <w:t xml:space="preserve">Small businesses gain a digital presence without expensive website development</w:t>
            </w:r>
          </w:p>
        </w:tc>
      </w:tr>
      <w:tr>
        <w:tc>
          <w:tcPr>
            <w:tcW w:w="5000" w:type="dxa"/>
          </w:tcPr>
          <w:p>
            <w:r>
              <w:rPr>
                <w:sz w:val="20"/>
                <w:rFonts w:ascii="Calibri" w:hAnsi="Calibri"/>
              </w:rPr>
              <w:t xml:space="preserve">Information Access</w:t>
            </w:r>
          </w:p>
        </w:tc>
        <w:tc>
          <w:tcPr>
            <w:tcW w:w="5000" w:type="dxa"/>
          </w:tcPr>
          <w:p>
            <w:r>
              <w:rPr>
                <w:sz w:val="20"/>
                <w:rFonts w:ascii="Calibri" w:hAnsi="Calibri"/>
              </w:rPr>
              <w:t xml:space="preserve">Business hours, contact details, and product information are centralised and searchable</w:t>
            </w:r>
          </w:p>
        </w:tc>
      </w:tr>
      <w:tr>
        <w:tc>
          <w:tcPr>
            <w:tcW w:w="5000" w:type="dxa"/>
          </w:tcPr>
          <w:p>
            <w:r>
              <w:rPr>
                <w:sz w:val="20"/>
                <w:rFonts w:ascii="Calibri" w:hAnsi="Calibri"/>
              </w:rPr>
              <w:t xml:space="preserve">Local Economic Growth</w:t>
            </w:r>
          </w:p>
        </w:tc>
        <w:tc>
          <w:tcPr>
            <w:tcW w:w="5000" w:type="dxa"/>
          </w:tcPr>
          <w:p>
            <w:r>
              <w:rPr>
                <w:sz w:val="20"/>
                <w:rFonts w:ascii="Calibri" w:hAnsi="Calibri"/>
              </w:rPr>
              <w:t xml:space="preserve">Featured and verified business listings promote trusted local enterprises</w:t>
            </w:r>
          </w:p>
        </w:tc>
      </w:tr>
      <w:tr>
        <w:tc>
          <w:tcPr>
            <w:tcW w:w="5000" w:type="dxa"/>
          </w:tcPr>
          <w:p>
            <w:r>
              <w:rPr>
                <w:sz w:val="20"/>
                <w:rFonts w:ascii="Calibri" w:hAnsi="Calibri"/>
              </w:rPr>
              <w:t xml:space="preserve">Administrative Oversight</w:t>
            </w:r>
          </w:p>
        </w:tc>
        <w:tc>
          <w:tcPr>
            <w:tcW w:w="5000" w:type="dxa"/>
          </w:tcPr>
          <w:p>
            <w:r>
              <w:rPr>
                <w:sz w:val="20"/>
                <w:rFonts w:ascii="Calibri" w:hAnsi="Calibri"/>
              </w:rPr>
              <w:t xml:space="preserve">Platform statistics and moderation tools enable data-driven decision making</w:t>
            </w:r>
          </w:p>
        </w:tc>
      </w:tr>
      <w:tr>
        <w:tc>
          <w:tcPr>
            <w:tcW w:w="5000" w:type="dxa"/>
          </w:tcPr>
          <w:p>
            <w:r>
              <w:rPr>
                <w:sz w:val="20"/>
                <w:rFonts w:ascii="Calibri" w:hAnsi="Calibri"/>
              </w:rPr>
              <w:t xml:space="preserve">Infrastructure Independence</w:t>
            </w:r>
          </w:p>
        </w:tc>
        <w:tc>
          <w:tcPr>
            <w:tcW w:w="5000" w:type="dxa"/>
          </w:tcPr>
          <w:p>
            <w:r>
              <w:rPr>
                <w:sz w:val="20"/>
                <w:rFonts w:ascii="Calibri" w:hAnsi="Calibri"/>
              </w:rPr>
              <w:t xml:space="preserve">Offline-capable design ensures functionality during internet outages</w:t>
            </w:r>
          </w:p>
        </w:tc>
      </w:tr>
    </w:tbl>
    <w:p>
      <w:pPr>
        <w:pStyle w:val="Heading1"/>
        <w:spacing w:before="240" w:after="120"/>
      </w:pPr>
      <w:r>
        <w:rPr>
          <w:rFonts w:ascii="Calibri" w:hAnsi="Calibri"/>
        </w:rPr>
        <w:t xml:space="preserve">10. Conclusion</w:t>
      </w:r>
    </w:p>
    <w:p>
      <w:pPr/>
      <w:r>
        <w:rPr>
          <w:sz w:val="22"/>
          <w:rFonts w:ascii="Calibri" w:hAnsi="Calibri"/>
        </w:rPr>
        <w:t xml:space="preserve">ServiceFlow presents a practical, sustainable solution to service delivery challenges in Uganda. Its single-executable architecture eliminates infrastructure dependencies, its embedded database removes the need for database administration, and its dual-mode deployment adapts to varying technical environments. By connecting citizens with local businesses through an accessible digital platform, ServiceFlow contributes to improved commercial efficiency, reduced transaction costs, and enhanced service delivery across Ugandan communities. The platform demonstrates that effective service delivery solutions need not depend on expensive infrastructure or complex technology stacks, but can instead leverage simple, robust design principles to create meaningful impact in resource-constrained environments.</w:t>
      </w:r>
    </w:p>
    <!-- FOOTER NOTE -->
    <w:p>
      <w:pPr>
        <w:spacing w:before="0" w:after="0"/>
      </w:pPr>
    </w:p>
    <w:p>
      <w:pPr>
        <w:jc w:val="center"/>
        <w:spacing w:before="600"/>
      </w:pPr>
      <w:r>
        <w:rPr>
          <w:sz w:val="18"/>
          <w:i/>
          <w:color w:val="a0aec0"/>
          <w:rFonts w:ascii="Calibri" w:hAnsi="Calibri"/>
        </w:rPr>
        <w:t xml:space="preserve">Report prepared for academic submission. Platform source code and compiled executable are available upon request.</w:t>
      </w:r>
    </w:p>
  </w:body>
</w:document>
</file>

<file path=word/styles.xml><?xml version="1.0" encoding="utf-8"?>
<w:styles xmlns:w="http://schemas.openxmlformats.org/wordprocessingml/2006/main">
  <w:style w:type="paragraph" w:styleId="Normal">
    <w:name w:val="Normal"/>
    <w:pPr>
      <w:spacing w:after="200" w:line="276"/>
    </w:pPr>
    <w:rPr>
      <w:sz w:val="22"/>
      <w:rFonts w:ascii="Calibri" w:hAnsi="Calibri"/>
    </w:rPr>
  </w:style>
  <w:style w:type="paragraph" w:styleId="Title">
    <w:name w:val="Title"/>
    <w:pPr>
      <w:jc w:val="center"/>
      <w:spacing w:before="240" w:after="120"/>
    </w:pPr>
    <w:rPr>
      <w:sz w:val="48"/>
      <w:b/>
      <w:rFonts w:ascii="Calibri" w:hAnsi="Calibri"/>
      <w:color w:val="1a365d"/>
    </w:rPr>
  </w:style>
  <w:style w:type="paragraph" w:styleId="Subtitle">
    <w:name w:val="Subtitle"/>
    <w:pPr>
      <w:jc w:val="center"/>
      <w:spacing w:before="120" w:after="480"/>
    </w:pPr>
    <w:rPr>
      <w:sz w:val="28"/>
      <w:rFonts w:ascii="Calibri" w:hAnsi="Calibri"/>
      <w:color w:val="4a5568"/>
    </w:rPr>
  </w:style>
  <w:style w:type="paragraph" w:styleId="Heading1">
    <w:name w:val="heading 1"/>
    <w:pPr>
      <w:spacing w:before="360" w:after="120"/>
    </w:pPr>
    <w:rPr>
      <w:sz w:val="32"/>
      <w:b/>
      <w:rFonts w:ascii="Calibri" w:hAnsi="Calibri"/>
      <w:color w:val="1a365d"/>
    </w:rPr>
  </w:style>
  <w:style w:type="paragraph" w:styleId="Heading2">
    <w:name w:val="heading 2"/>
    <w:pPr>
      <w:spacing w:before="240" w:after="80"/>
    </w:pPr>
    <w:rPr>
      <w:sz w:val="26"/>
      <w:b/>
      <w:rFonts w:ascii="Calibri" w:hAnsi="Calibri"/>
      <w:color w:val="2c5282"/>
    </w:rPr>
  </w:style>
  <w:style w:type="paragraph" w:styleId="Heading3">
    <w:name w:val="heading 3"/>
    <w:pPr>
      <w:spacing w:before="200" w:after="60"/>
    </w:pPr>
    <w:rPr>
      <w:sz w:val="24"/>
      <w:b/>
      <w:rFonts w:ascii="Calibri" w:hAnsi="Calibri"/>
      <w:color w:val="2b6cb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