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00000"/>
          <w:sz w:val="44"/>
          <w:szCs w:val="44"/>
        </w:rPr>
        <w:t xml:space="preserve">AttestMint</w:t>
      </w:r>
    </w:p>
    <w:p>
      <w:pPr>
        <w:spacing w:after="60"/>
        <w:jc w:val="center"/>
      </w:pPr>
      <w:r>
        <w:rPr>
          <w:b/>
          <w:bCs/>
          <w:color w:val="000000"/>
          <w:sz w:val="28"/>
          <w:szCs w:val="28"/>
        </w:rPr>
        <w:t xml:space="preserve">A Trust-Anchored Compute-Token Economy for</w:t>
      </w:r>
    </w:p>
    <w:p>
      <w:pPr>
        <w:spacing w:after="40"/>
        <w:jc w:val="center"/>
      </w:pPr>
      <w:r>
        <w:rPr>
          <w:b/>
          <w:bCs/>
          <w:color w:val="000000"/>
          <w:sz w:val="28"/>
          <w:szCs w:val="28"/>
        </w:rPr>
        <w:t xml:space="preserve">Decentralized, Confidential AI Inference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Final Project Proposal — Decentralized AI Track</w:t>
      </w:r>
    </w:p>
    <w:p>
      <w:pPr>
        <w:spacing w:after="160"/>
        <w:jc w:val="center"/>
      </w:pPr>
      <w:r>
        <w:rPr>
          <w:color w:val="444444"/>
          <w:sz w:val="20"/>
          <w:szCs w:val="20"/>
        </w:rPr>
        <w:t xml:space="preserve">Zhenhao Ma — July 2026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1"/>
        <w:spacing w:after="140" w:before="320"/>
      </w:pPr>
      <w:r>
        <w:rPr>
          <w:b/>
          <w:bCs/>
          <w:color w:val="000000"/>
          <w:sz w:val="28"/>
          <w:szCs w:val="28"/>
        </w:rPr>
        <w:t xml:space="preserve">1. Abstract</w:t>
      </w:r>
    </w:p>
    <w:p>
      <w:pPr>
        <w:spacing w:after="120" w:line="276"/>
      </w:pPr>
      <w:r>
        <w:rPr>
          <w:color w:val="000000"/>
          <w:sz w:val="22"/>
          <w:szCs w:val="22"/>
        </w:rPr>
        <w:t xml:space="preserve">We propose </w:t>
      </w:r>
      <w:r>
        <w:rPr>
          <w:b/>
          <w:bCs/>
          <w:color w:val="000000"/>
          <w:sz w:val="22"/>
          <w:szCs w:val="22"/>
        </w:rPr>
        <w:t xml:space="preserve">AttestMint</w:t>
      </w:r>
      <w:r>
        <w:rPr>
          <w:color w:val="000000"/>
          <w:sz w:val="22"/>
          <w:szCs w:val="22"/>
        </w:rPr>
        <w:t xml:space="preserve">, a decentralized network in which independent operators run small language models (SLMs) inside hardware Trusted Execution Environments (TEEs) and are paid in a native </w:t>
      </w:r>
      <w:r>
        <w:rPr>
          <w:b/>
          <w:bCs/>
          <w:color w:val="000000"/>
          <w:sz w:val="22"/>
          <w:szCs w:val="22"/>
        </w:rPr>
        <w:t xml:space="preserve">compute token</w:t>
      </w:r>
      <w:r>
        <w:rPr>
          <w:color w:val="000000"/>
          <w:sz w:val="22"/>
          <w:szCs w:val="22"/>
        </w:rPr>
        <w:t xml:space="preserve">. The token economy follows a burn-and-mint equilibrium: users </w:t>
      </w:r>
      <w:r>
        <w:rPr>
          <w:b/>
          <w:bCs/>
          <w:color w:val="000000"/>
          <w:sz w:val="22"/>
          <w:szCs w:val="22"/>
        </w:rPr>
        <w:t xml:space="preserve">burn</w:t>
      </w:r>
      <w:r>
        <w:rPr>
          <w:color w:val="000000"/>
          <w:sz w:val="22"/>
          <w:szCs w:val="22"/>
        </w:rPr>
        <w:t xml:space="preserve"> tokens to consume inference, and operators </w:t>
      </w:r>
      <w:r>
        <w:rPr>
          <w:b/>
          <w:bCs/>
          <w:color w:val="000000"/>
          <w:sz w:val="22"/>
          <w:szCs w:val="22"/>
        </w:rPr>
        <w:t xml:space="preserve">mint</w:t>
      </w:r>
      <w:r>
        <w:rPr>
          <w:color w:val="000000"/>
          <w:sz w:val="22"/>
          <w:szCs w:val="22"/>
        </w:rPr>
        <w:t xml:space="preserve"> new tokens by supplying inference — but only against a valid remote-attestation proof that the correct model and code ran inside a genuine enclave. The design cleanly separates three layers (ledger, executor selection, token economy), replaces wasteful proof-of-work with a decentralized verifiable-random lottery among attested, staked nodes, and states an explicit threat model of what it does and does not trust.</w:t>
      </w:r>
    </w:p>
    <w:p>
      <w:pPr>
        <w:pStyle w:val="Heading1"/>
        <w:spacing w:after="140" w:before="320"/>
      </w:pPr>
      <w:r>
        <w:rPr>
          <w:b/>
          <w:bCs/>
          <w:color w:val="000000"/>
          <w:sz w:val="28"/>
          <w:szCs w:val="28"/>
        </w:rPr>
        <w:t xml:space="preserve">2. The Problem</w:t>
      </w:r>
    </w:p>
    <w:p>
      <w:pPr>
        <w:spacing w:after="120" w:line="276"/>
      </w:pPr>
      <w:r>
        <w:rPr>
          <w:color w:val="000000"/>
          <w:sz w:val="22"/>
          <w:szCs w:val="22"/>
        </w:rPr>
        <w:t xml:space="preserve">AI inference is concentrated in a few centralized providers. Decentralized compute markets (Render, Akash, io.net, Bittensor) open up cheaper supply from idle GPUs, but a buyer of that compute has no technical guarantee of three things: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000000"/>
          <w:sz w:val="22"/>
          <w:szCs w:val="22"/>
        </w:rPr>
        <w:t xml:space="preserve">Privacy: </w:t>
      </w:r>
      <w:r>
        <w:rPr>
          <w:color w:val="000000"/>
          <w:sz w:val="22"/>
          <w:szCs w:val="22"/>
        </w:rPr>
        <w:t xml:space="preserve">the operator can read every prompt and response in plaintext — unacceptable for medical, financial, or legal data.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000000"/>
          <w:sz w:val="22"/>
          <w:szCs w:val="22"/>
        </w:rPr>
        <w:t xml:space="preserve">Integrity: </w:t>
      </w:r>
      <w:r>
        <w:rPr>
          <w:color w:val="000000"/>
          <w:sz w:val="22"/>
          <w:szCs w:val="22"/>
        </w:rPr>
        <w:t xml:space="preserve">the buyer cannot verify the advertised model actually produced the answer, versus a cheaper, quantized, or poisoned substitute.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000000"/>
          <w:sz w:val="22"/>
          <w:szCs w:val="22"/>
        </w:rPr>
        <w:t xml:space="preserve">Sound money for compute: </w:t>
      </w:r>
      <w:r>
        <w:rPr>
          <w:color w:val="000000"/>
          <w:sz w:val="22"/>
          <w:szCs w:val="22"/>
        </w:rPr>
        <w:t xml:space="preserve">token rewards are often minted for merely 'showing up', with no proof that real, correct, private work was done — inviting inflation and free-riding.</w:t>
      </w:r>
    </w:p>
    <w:p>
      <w:pPr>
        <w:spacing w:after="120" w:line="276"/>
      </w:pPr>
      <w:r>
        <w:rPr>
          <w:color w:val="000000"/>
          <w:sz w:val="22"/>
          <w:szCs w:val="22"/>
        </w:rPr>
        <w:t xml:space="preserve">The core question: if the machine is untrusted, how do you (a) protect the data you send it, (b) trust the result, and (c) ensure tokens are only minted for real work?</w:t>
      </w:r>
    </w:p>
    <w:p>
      <w:pPr>
        <w:pStyle w:val="Heading1"/>
        <w:spacing w:after="140" w:before="320"/>
      </w:pPr>
      <w:r>
        <w:rPr>
          <w:b/>
          <w:bCs/>
          <w:color w:val="000000"/>
          <w:sz w:val="28"/>
          <w:szCs w:val="28"/>
        </w:rPr>
        <w:t xml:space="preserve">3. Why This Problem Matters</w:t>
      </w:r>
    </w:p>
    <w:p>
      <w:pPr>
        <w:spacing w:after="120" w:line="276"/>
      </w:pPr>
      <w:r>
        <w:rPr>
          <w:color w:val="000000"/>
          <w:sz w:val="22"/>
          <w:szCs w:val="22"/>
        </w:rPr>
        <w:t xml:space="preserve">SLMs (1B–8B parameters) now handle a large share of real tasks and run on a single cheap GPU, making them the natural unit for a decentralized market of thousands of operators. Regulated sectors legally cannot send plaintext data to opaque third parties, so </w:t>
      </w:r>
      <w:r>
        <w:rPr>
          <w:b/>
          <w:bCs/>
          <w:color w:val="000000"/>
          <w:sz w:val="22"/>
          <w:szCs w:val="22"/>
        </w:rPr>
        <w:t xml:space="preserve">confidential, verifiable inference is the missing primitive</w:t>
      </w:r>
      <w:r>
        <w:rPr>
          <w:color w:val="000000"/>
          <w:sz w:val="22"/>
          <w:szCs w:val="22"/>
        </w:rPr>
        <w:t xml:space="preserve"> that lets them use decentralized compute at all. Tying token issuance to proven, private work turns a speculative 'compute coin' into money backed by real, externally-demanded output, avoiding the reflexive death-spirals that have plagued many DePIN tokens.</w:t>
      </w:r>
    </w:p>
    <w:p>
      <w:pPr>
        <w:pStyle w:val="Heading1"/>
        <w:spacing w:after="140" w:before="320"/>
      </w:pPr>
      <w:r>
        <w:rPr>
          <w:b/>
          <w:bCs/>
          <w:color w:val="000000"/>
          <w:sz w:val="28"/>
          <w:szCs w:val="28"/>
        </w:rPr>
        <w:t xml:space="preserve">4. Related Work</w:t>
      </w:r>
    </w:p>
    <w:p>
      <w:pPr>
        <w:pStyle w:val="Heading2"/>
        <w:spacing w:after="90" w:before="220"/>
      </w:pPr>
      <w:r>
        <w:rPr>
          <w:b/>
          <w:bCs/>
          <w:color w:val="000000"/>
          <w:sz w:val="24"/>
          <w:szCs w:val="24"/>
        </w:rPr>
        <w:t xml:space="preserve">4.1 Confidential &amp; Verifiable Inference (Academic)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000000"/>
          <w:sz w:val="22"/>
          <w:szCs w:val="22"/>
        </w:rPr>
        <w:t xml:space="preserve">VeriLLM (2025): </w:t>
      </w:r>
      <w:r>
        <w:rPr>
          <w:color w:val="000000"/>
          <w:sz w:val="22"/>
          <w:szCs w:val="22"/>
        </w:rPr>
        <w:t xml:space="preserve">publicly verifiable decentralized inference at ~1% overhead — verifiability but not confidentiality.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000000"/>
          <w:sz w:val="22"/>
          <w:szCs w:val="22"/>
        </w:rPr>
        <w:t xml:space="preserve">EigenAI: </w:t>
      </w:r>
      <w:r>
        <w:rPr>
          <w:color w:val="000000"/>
          <w:sz w:val="22"/>
          <w:szCs w:val="22"/>
        </w:rPr>
        <w:t xml:space="preserve">deterministic inference + optimistic re-execution; verifiers run a threshold-KMS and TEE runtime.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000000"/>
          <w:sz w:val="22"/>
          <w:szCs w:val="22"/>
        </w:rPr>
        <w:t xml:space="preserve">Optimistic TEE-Rollups (2025): </w:t>
      </w:r>
      <w:r>
        <w:rPr>
          <w:color w:val="000000"/>
          <w:sz w:val="22"/>
          <w:szCs w:val="22"/>
        </w:rPr>
        <w:t xml:space="preserve">NVIDIA H100 confidential-computing TEEs with optimistic fraud proofs and stochastic ZK spot-checks.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000000"/>
          <w:sz w:val="22"/>
          <w:szCs w:val="22"/>
        </w:rPr>
        <w:t xml:space="preserve">Privacy-Preserving Decentralized AI with Confidential Computing (2024): </w:t>
      </w:r>
      <w:r>
        <w:rPr>
          <w:color w:val="000000"/>
          <w:sz w:val="22"/>
          <w:szCs w:val="22"/>
        </w:rPr>
        <w:t xml:space="preserve">argues TEEs are the practical privacy path versus the heavy overhead of FHE/MPC.</w:t>
      </w:r>
    </w:p>
    <w:p>
      <w:pPr>
        <w:pStyle w:val="Heading2"/>
        <w:spacing w:after="90" w:before="220"/>
      </w:pPr>
      <w:r>
        <w:rPr>
          <w:b/>
          <w:bCs/>
          <w:color w:val="000000"/>
          <w:sz w:val="24"/>
          <w:szCs w:val="24"/>
        </w:rPr>
        <w:t xml:space="preserve">4.2 Token Economies for Compute (Systems)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000000"/>
          <w:sz w:val="22"/>
          <w:szCs w:val="22"/>
        </w:rPr>
        <w:t xml:space="preserve">Burn-and-mint equilibrium (Factom 2016, Helium HIP-20): </w:t>
      </w:r>
      <w:r>
        <w:rPr>
          <w:color w:val="000000"/>
          <w:sz w:val="22"/>
          <w:szCs w:val="22"/>
        </w:rPr>
        <w:t xml:space="preserve">burn tokens to use a service, mint to reward providers — the tokenomic backbone we adopt.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000000"/>
          <w:sz w:val="22"/>
          <w:szCs w:val="22"/>
        </w:rPr>
        <w:t xml:space="preserve">Render Network BME (live 2023): </w:t>
      </w:r>
      <w:r>
        <w:rPr>
          <w:color w:val="000000"/>
          <w:sz w:val="22"/>
          <w:szCs w:val="22"/>
        </w:rPr>
        <w:t xml:space="preserve">burn RENDER to pay for GPU/AI jobs, mint RENDER to reward node operators. Provides a compute token but no confidentiality and no guarantee the correct model ran.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000000"/>
          <w:sz w:val="22"/>
          <w:szCs w:val="22"/>
        </w:rPr>
        <w:t xml:space="preserve">Targon — Bittensor Subnet 4 (Manifold Labs, with Intel): </w:t>
      </w:r>
      <w:r>
        <w:rPr>
          <w:color w:val="000000"/>
          <w:sz w:val="22"/>
          <w:szCs w:val="22"/>
        </w:rPr>
        <w:t xml:space="preserve">the closest existing system to ours. It already combines a compute-token economy with Intel TDX confidential enclaves, running attested inference on aggregated NVIDIA hardware (Manifold and Intel co-published 'Decentralized Compute on Untrusted Hardware Using Intel TDX', 2026). We therefore do not claim that combining a token economy with a TEE is novel.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000000"/>
          <w:sz w:val="22"/>
          <w:szCs w:val="22"/>
        </w:rPr>
        <w:t xml:space="preserve">Akash, io.net, Bittensor (Yuma Consensus): </w:t>
      </w:r>
      <w:r>
        <w:rPr>
          <w:color w:val="000000"/>
          <w:sz w:val="22"/>
          <w:szCs w:val="22"/>
        </w:rPr>
        <w:t xml:space="preserve">decentralized GPU/AI marketplaces with token incentives; Bittensor distributes emissions by having validators score miner outputs.</w:t>
      </w:r>
    </w:p>
    <w:p>
      <w:pPr>
        <w:pStyle w:val="Heading2"/>
        <w:spacing w:after="90" w:before="220"/>
      </w:pPr>
      <w:r>
        <w:rPr>
          <w:b/>
          <w:bCs/>
          <w:color w:val="000000"/>
          <w:sz w:val="24"/>
          <w:szCs w:val="24"/>
        </w:rPr>
        <w:t xml:space="preserve">4.3 Positioning &amp; Contribution</w:t>
      </w:r>
    </w:p>
    <w:p>
      <w:pPr>
        <w:spacing w:after="120" w:line="276"/>
      </w:pPr>
      <w:r>
        <w:rPr>
          <w:color w:val="000000"/>
          <w:sz w:val="22"/>
          <w:szCs w:val="22"/>
        </w:rPr>
        <w:t xml:space="preserve">Given Targon, our contribution is not the combination itself but a specific, minimal mechanism and an honest trust boundary. Concretely, AttestMint differs by making </w:t>
      </w:r>
      <w:r>
        <w:rPr>
          <w:b/>
          <w:bCs/>
          <w:color w:val="000000"/>
          <w:sz w:val="22"/>
          <w:szCs w:val="22"/>
        </w:rPr>
        <w:t xml:space="preserve">attestation the strict protocol-level precondition for minting</w:t>
      </w:r>
      <w:r>
        <w:rPr>
          <w:color w:val="000000"/>
          <w:sz w:val="22"/>
          <w:szCs w:val="22"/>
        </w:rPr>
        <w:t xml:space="preserve"> — a node earns tokens only when it proves, per job, that a genuine enclave ran the correct model on data it never saw in plaintext — rather than distributing emissions through validator scoring (Bittensor/Yuma). We further pair this with a </w:t>
      </w:r>
      <w:r>
        <w:rPr>
          <w:b/>
          <w:bCs/>
          <w:color w:val="000000"/>
          <w:sz w:val="22"/>
          <w:szCs w:val="22"/>
        </w:rPr>
        <w:t xml:space="preserve">decentralized verifiable-random executor lottery</w:t>
      </w:r>
      <w:r>
        <w:rPr>
          <w:color w:val="000000"/>
          <w:sz w:val="22"/>
          <w:szCs w:val="22"/>
        </w:rPr>
        <w:t xml:space="preserve"> (below) and an explicit threat model (§6). The goal is a design that is simple to reason about and easy to audit, not a claim of first-of-its-kind.</w:t>
      </w:r>
    </w:p>
    <w:p>
      <w:pPr>
        <w:pStyle w:val="Heading1"/>
        <w:spacing w:after="140" w:before="320"/>
      </w:pPr>
      <w:r>
        <w:rPr>
          <w:b/>
          <w:bCs/>
          <w:color w:val="000000"/>
          <w:sz w:val="28"/>
          <w:szCs w:val="28"/>
        </w:rPr>
        <w:t xml:space="preserve">5. Proposed Solution</w:t>
      </w:r>
    </w:p>
    <w:p>
      <w:pPr>
        <w:spacing w:after="120" w:line="276"/>
      </w:pPr>
      <w:r>
        <w:rPr>
          <w:color w:val="000000"/>
          <w:sz w:val="22"/>
          <w:szCs w:val="22"/>
        </w:rPr>
        <w:t xml:space="preserve">AttestMint separates three concerns into three independent layers.</w:t>
      </w:r>
    </w:p>
    <w:p>
      <w:pPr>
        <w:pStyle w:val="Heading2"/>
        <w:spacing w:after="90" w:before="220"/>
      </w:pPr>
      <w:r>
        <w:rPr>
          <w:b/>
          <w:bCs/>
          <w:color w:val="000000"/>
          <w:sz w:val="24"/>
          <w:szCs w:val="24"/>
        </w:rPr>
        <w:t xml:space="preserve">5.1 Token Economy — attestation-gated burn &amp; mint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000000"/>
          <w:sz w:val="22"/>
          <w:szCs w:val="22"/>
        </w:rPr>
        <w:t xml:space="preserve">Consume: </w:t>
      </w:r>
      <w:r>
        <w:rPr>
          <w:color w:val="000000"/>
          <w:sz w:val="22"/>
          <w:szCs w:val="22"/>
        </w:rPr>
        <w:t xml:space="preserve">a user burns compute tokens (priced in a stable unit) to post an inference job to escrow.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000000"/>
          <w:sz w:val="22"/>
          <w:szCs w:val="22"/>
        </w:rPr>
        <w:t xml:space="preserve">Produce: </w:t>
      </w:r>
      <w:r>
        <w:rPr>
          <w:color w:val="000000"/>
          <w:sz w:val="22"/>
          <w:szCs w:val="22"/>
        </w:rPr>
        <w:t xml:space="preserve">an operator mints new tokens only after presenting a valid attestation for that job; invalid or missing attestation means no mint. This is what anchors the currency to real, verified work.</w:t>
      </w:r>
    </w:p>
    <w:p>
      <w:pPr>
        <w:pStyle w:val="Heading2"/>
        <w:spacing w:after="90" w:before="220"/>
      </w:pPr>
      <w:r>
        <w:rPr>
          <w:b/>
          <w:bCs/>
          <w:color w:val="000000"/>
          <w:sz w:val="24"/>
          <w:szCs w:val="24"/>
        </w:rPr>
        <w:t xml:space="preserve">5.2 Trust &amp; Privacy — TEE confidential inference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000000"/>
          <w:sz w:val="22"/>
          <w:szCs w:val="22"/>
        </w:rPr>
        <w:t xml:space="preserve">The model and inference code are measured into a signed attestation quote; the user's prompt is encrypted to the enclave's attested key and decrypted only inside the TEE, so the operator never sees plaintext.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000000"/>
          <w:sz w:val="22"/>
          <w:szCs w:val="22"/>
        </w:rPr>
        <w:t xml:space="preserve">Integrity is double-checked off-hardware: a random fraction of jobs is re-executed on a different-vendor node (optimistic fraud proof), so a forged result is caught and the staker is slashed.</w:t>
      </w:r>
    </w:p>
    <w:p>
      <w:pPr>
        <w:pStyle w:val="Heading2"/>
        <w:spacing w:after="90" w:before="220"/>
      </w:pPr>
      <w:r>
        <w:rPr>
          <w:b/>
          <w:bCs/>
          <w:color w:val="000000"/>
          <w:sz w:val="24"/>
          <w:szCs w:val="24"/>
        </w:rPr>
        <w:t xml:space="preserve">5.3 Executor Selection — decentralized fair lottery, not proof-of-work</w:t>
      </w:r>
    </w:p>
    <w:p>
      <w:pPr>
        <w:spacing w:after="120" w:line="276"/>
      </w:pPr>
      <w:r>
        <w:rPr>
          <w:color w:val="000000"/>
          <w:sz w:val="22"/>
          <w:szCs w:val="22"/>
        </w:rPr>
        <w:t xml:space="preserve">A job is broadcast, then one executor is chosen. We deliberately reject Bitcoin-style hash racing because it (i) wastes the very compute we sell, (ii) is slow, and (iii) hands the most-resourced miner a systematic advantage. Instead: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000000"/>
          <w:sz w:val="22"/>
          <w:szCs w:val="22"/>
        </w:rPr>
        <w:t xml:space="preserve">Eligibility: </w:t>
      </w:r>
      <w:r>
        <w:rPr>
          <w:color w:val="000000"/>
          <w:sz w:val="22"/>
          <w:szCs w:val="22"/>
        </w:rPr>
        <w:t xml:space="preserve">a node may be selected only if it is ATTESTED (valid TEE quote proving a genuine enclave running the expected code) AND STAKED (compute tokens locked as slashable collateral).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000000"/>
          <w:sz w:val="22"/>
          <w:szCs w:val="22"/>
        </w:rPr>
        <w:t xml:space="preserve">Selection: </w:t>
      </w:r>
      <w:r>
        <w:rPr>
          <w:color w:val="000000"/>
          <w:sz w:val="22"/>
          <w:szCs w:val="22"/>
        </w:rPr>
        <w:t xml:space="preserve">a Verifiable Random Function (VRF) picks the executor fairly and instantly from the eligible pool — no wasted hashing, no hash-power advantage, and random assignment limits the blast radius if any single enclave is compromised.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000000"/>
          <w:sz w:val="22"/>
          <w:szCs w:val="22"/>
        </w:rPr>
        <w:t xml:space="preserve">Decentralization of the VRF (important): </w:t>
      </w:r>
      <w:r>
        <w:rPr>
          <w:color w:val="000000"/>
          <w:sz w:val="22"/>
          <w:szCs w:val="22"/>
        </w:rPr>
        <w:t xml:space="preserve">we use self-sortition in the style of Algorand/Cardano — each node evaluates the VRF with its OWN secret key against a public, unbiasable randomness beacon (e.g. a drand-style distributed beacon or on-chain randomness), and anyone can verify the result with the node's public key. We do NOT use an oracle-style VRF service (e.g. a single third party holding the key), which would reintroduce a trusted third party. Anchoring the seed to an unbiasable beacon also prevents 'grinding', i.e. a party retrying until it wins — the same failure PoW selection would have.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000000"/>
          <w:sz w:val="22"/>
          <w:szCs w:val="22"/>
        </w:rPr>
        <w:t xml:space="preserve">Ledger: </w:t>
      </w:r>
      <w:r>
        <w:rPr>
          <w:color w:val="000000"/>
          <w:sz w:val="22"/>
          <w:szCs w:val="22"/>
        </w:rPr>
        <w:t xml:space="preserve">accounting runs on Proof-of-Stake (or as a contract on an existing chain), keeping consensus fully separate from — and non-competing with — the useful AI compute.</w:t>
      </w:r>
    </w:p>
    <w:p>
      <w:pPr>
        <w:pStyle w:val="Heading2"/>
        <w:spacing w:after="90" w:before="220"/>
      </w:pPr>
      <w:r>
        <w:rPr>
          <w:b/>
          <w:bCs/>
          <w:color w:val="000000"/>
          <w:sz w:val="24"/>
          <w:szCs w:val="24"/>
        </w:rPr>
        <w:t xml:space="preserve">5.4 Why both TEE and VRF (they are not interchangeable)</w:t>
      </w:r>
    </w:p>
    <w:p>
      <w:pPr>
        <w:spacing w:after="120" w:line="276"/>
      </w:pPr>
      <w:r>
        <w:rPr>
          <w:color w:val="000000"/>
          <w:sz w:val="22"/>
          <w:szCs w:val="22"/>
        </w:rPr>
        <w:t xml:space="preserve">These two mechanisms solve orthogonal problems and neither can replace the other. The VRF answers </w:t>
      </w:r>
      <w:r>
        <w:rPr>
          <w:b/>
          <w:bCs/>
          <w:color w:val="000000"/>
          <w:sz w:val="22"/>
          <w:szCs w:val="22"/>
        </w:rPr>
        <w:t xml:space="preserve">who runs a job</w:t>
      </w:r>
      <w:r>
        <w:rPr>
          <w:color w:val="000000"/>
          <w:sz w:val="22"/>
          <w:szCs w:val="22"/>
        </w:rPr>
        <w:t xml:space="preserve"> — it is a verifiable random number used only to select a node fairly. The TEE answers </w:t>
      </w:r>
      <w:r>
        <w:rPr>
          <w:b/>
          <w:bCs/>
          <w:color w:val="000000"/>
          <w:sz w:val="22"/>
          <w:szCs w:val="22"/>
        </w:rPr>
        <w:t xml:space="preserve">what that node may see and must prove</w:t>
      </w:r>
      <w:r>
        <w:rPr>
          <w:color w:val="000000"/>
          <w:sz w:val="22"/>
          <w:szCs w:val="22"/>
        </w:rPr>
        <w:t xml:space="preserve"> — it keeps the prompt confidential and attests that the correct model ran. A VRF cannot provide privacy (it encrypts nothing; the selected node would still read the plaintext) and cannot prove correct execution. Conversely, a TEE does not choose a node. If one wished to remove the TEE to escape the hardware trust root, the replacements are re-execution / ZK for integrity and FHE / MPC for confidentiality — never a VRF. AttestMint therefore uses both: the VRF selects, the TEE protects and proves.</w:t>
      </w:r>
    </w:p>
    <w:p>
      <w:pPr>
        <w:pStyle w:val="Heading1"/>
        <w:spacing w:after="140" w:before="320"/>
      </w:pPr>
      <w:r>
        <w:rPr>
          <w:b/>
          <w:bCs/>
          <w:color w:val="000000"/>
          <w:sz w:val="28"/>
          <w:szCs w:val="28"/>
        </w:rPr>
        <w:t xml:space="preserve">6. Threat Model &amp; Trust Assumptions</w:t>
      </w:r>
    </w:p>
    <w:p>
      <w:pPr>
        <w:spacing w:after="120" w:line="276"/>
      </w:pPr>
      <w:r>
        <w:rPr>
          <w:color w:val="000000"/>
          <w:sz w:val="22"/>
          <w:szCs w:val="22"/>
        </w:rPr>
        <w:t xml:space="preserve">A serious systems design must state its trust boundary. AttestMint is explicit about it: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00"/>
        <w:gridCol w:w="3700"/>
      </w:tblGrid>
      <w:tr>
        <w:trPr>
          <w:tblHeader/>
        </w:trPr>
        <w:tc>
          <w:tcPr>
            <w:tcW w:type="dxa" w:w="15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In scope — we defend</w:t>
            </w:r>
          </w:p>
        </w:tc>
        <w:tc>
          <w:tcPr>
            <w:tcW w:type="dxa" w:w="37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Out of scope — accepted assumption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Adversary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Malicious node operators; attackers who buy compute to steal data; miners who forge results to mint tokens.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hardware vendor (Intel/AMD/NVIDIA) that is itself malicious or state-coerced.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Why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These are the common, profitable, everyday attacks a decentralized market faces.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Hardware TEEs root trust in the chip vendor's signing keys; this cannot be removed while using TEEs.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Mitigation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TEE confidentiality + attestation-gated minting + staking/slashing + random re-execution.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Multi-vendor M-of-N attestation dilutes it to 'no single vendor can cheat alone'; integrity is additionally checked without trusting hardware, via re-execution.</w:t>
            </w:r>
          </w:p>
        </w:tc>
      </w:tr>
    </w:tbl>
    <w:p>
      <w:pPr>
        <w:spacing w:after="120" w:line="276"/>
      </w:pPr>
      <w:r>
        <w:rPr>
          <w:color w:val="000000"/>
          <w:sz w:val="22"/>
          <w:szCs w:val="22"/>
        </w:rPr>
        <w:t xml:space="preserve">Honest framing: AttestMint performs a </w:t>
      </w:r>
      <w:r>
        <w:rPr>
          <w:b/>
          <w:bCs/>
          <w:color w:val="000000"/>
          <w:sz w:val="22"/>
          <w:szCs w:val="22"/>
        </w:rPr>
        <w:t xml:space="preserve">trust transfer, not trust removal</w:t>
      </w:r>
      <w:r>
        <w:rPr>
          <w:color w:val="000000"/>
          <w:sz w:val="22"/>
          <w:szCs w:val="22"/>
        </w:rPr>
        <w:t xml:space="preserve"> — the buyer stops trusting the operator and instead trusts only the chip vendor's silicon, a much smaller and more auditable surface. Fully decentralizing the hardware trust root remains an open research problem (§9).</w:t>
      </w:r>
    </w:p>
    <w:p>
      <w:pPr>
        <w:pStyle w:val="Heading1"/>
        <w:spacing w:after="140" w:before="320"/>
      </w:pPr>
      <w:r>
        <w:rPr>
          <w:b/>
          <w:bCs/>
          <w:color w:val="000000"/>
          <w:sz w:val="28"/>
          <w:szCs w:val="28"/>
        </w:rPr>
        <w:t xml:space="preserve">7. Minimal Demo (≤ 5 Hours)</w:t>
      </w:r>
    </w:p>
    <w:p>
      <w:pPr>
        <w:spacing w:after="120" w:line="276"/>
      </w:pPr>
      <w:r>
        <w:rPr>
          <w:color w:val="000000"/>
          <w:sz w:val="22"/>
          <w:szCs w:val="22"/>
        </w:rPr>
        <w:t xml:space="preserve">The demo is a single-machine simulation of all three layers; expensive real components are mocked but behind interfaces where a real implementation could drop in.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00"/>
        <w:gridCol w:w="3300"/>
      </w:tblGrid>
      <w:tr>
        <w:trPr>
          <w:tblHeader/>
        </w:trPr>
        <w:tc>
          <w:tcPr>
            <w:tcW w:type="dxa" w:w="21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Layer</w:t>
            </w:r>
          </w:p>
        </w:tc>
        <w:tc>
          <w:tcPr>
            <w:tcW w:type="dxa" w:w="3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What is REAL</w:t>
            </w:r>
          </w:p>
        </w:tc>
        <w:tc>
          <w:tcPr>
            <w:tcW w:type="dxa" w:w="33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What is MOCKED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Inference + attestation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tiny model runs a real forward pass; an attestation = signed hash of (model weights + code).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Real Intel TDX / NVIDIA CC quotes and the hardware root of trust.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Executor selection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self-sortition VRF (seeded random) picks an executor from the eligible pool; ineligible nodes excluded.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Real distributed randomness beacon and on-chain quote verification.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Token economy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burn-on-use, mint-on-valid-attestation, staking and slashing over a token ledger; supply and price plotted over time.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Real chain deployment, gas, market pricing.</w:t>
            </w:r>
          </w:p>
        </w:tc>
      </w:tr>
    </w:tbl>
    <w:p>
      <w:pPr>
        <w:spacing w:after="120" w:line="276"/>
      </w:pPr>
      <w:r>
        <w:rPr>
          <w:b/>
          <w:bCs/>
          <w:color w:val="000000"/>
          <w:sz w:val="22"/>
          <w:szCs w:val="22"/>
        </w:rPr>
        <w:t xml:space="preserve">Live success criteria (shown in the talk): </w:t>
      </w:r>
      <w:r>
        <w:rPr>
          <w:color w:val="000000"/>
          <w:sz w:val="22"/>
          <w:szCs w:val="22"/>
        </w:rPr>
        <w:t xml:space="preserve">(1) a valid job — executor selected, attestation verified, tokens minted, answer accepted; (2) a tampered model hash — </w:t>
      </w:r>
      <w:r>
        <w:rPr>
          <w:b/>
          <w:bCs/>
          <w:color w:val="000000"/>
          <w:sz w:val="22"/>
          <w:szCs w:val="22"/>
        </w:rPr>
        <w:t xml:space="preserve">no mint, staker slashed, answer rejected</w:t>
      </w:r>
      <w:r>
        <w:rPr>
          <w:color w:val="000000"/>
          <w:sz w:val="22"/>
          <w:szCs w:val="22"/>
        </w:rPr>
        <w:t xml:space="preserve">; (3) a parameter sweep showing which mint/burn settings reach a stable equilibrium versus a death spiral.</w:t>
      </w:r>
    </w:p>
    <w:p>
      <w:pPr>
        <w:pStyle w:val="Heading1"/>
        <w:spacing w:after="140" w:before="320"/>
      </w:pPr>
      <w:r>
        <w:rPr>
          <w:b/>
          <w:bCs/>
          <w:color w:val="000000"/>
          <w:sz w:val="28"/>
          <w:szCs w:val="28"/>
        </w:rPr>
        <w:t xml:space="preserve">8. Weekly Plan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500"/>
        <w:gridCol w:w="4200"/>
      </w:tblGrid>
      <w:tr>
        <w:trPr>
          <w:tblHeader/>
        </w:trPr>
        <w:tc>
          <w:tcPr>
            <w:tcW w:type="dxa" w:w="13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Week</w:t>
            </w:r>
          </w:p>
        </w:tc>
        <w:tc>
          <w:tcPr>
            <w:tcW w:type="dxa" w:w="35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Goal</w:t>
            </w:r>
          </w:p>
        </w:tc>
        <w:tc>
          <w:tcPr>
            <w:tcW w:type="dxa" w:w="42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Deliverable presented to class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(now)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Finalize architecture + threat model.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This proposal; 3-layer diagram; demo success/fail criteria.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attestation + self-sortition VRF selection core.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Live: eligible-pool selection; valid quote accepted, tampered quote rejected.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real SLM inference + encrypted prompt channel.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Live: end-to-end job — encrypted prompt in, attested answer out.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burn-mint economy + staking/slashing.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Live: tokens minted on valid work, slashed on forgery; supply curve.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(final)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Equilibrium sweep, benchmark overhead, write up limitations.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 presentation + demo + short report.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000000"/>
          <w:sz w:val="28"/>
          <w:szCs w:val="28"/>
        </w:rPr>
        <w:t xml:space="preserve">9. Limitations &amp; Open Problems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000000"/>
          <w:sz w:val="22"/>
          <w:szCs w:val="22"/>
        </w:rPr>
        <w:t xml:space="preserve">Hardware trust root: </w:t>
      </w:r>
      <w:r>
        <w:rPr>
          <w:color w:val="000000"/>
          <w:sz w:val="22"/>
          <w:szCs w:val="22"/>
        </w:rPr>
        <w:t xml:space="preserve">confidentiality ultimately depends on the chip vendor; a colluding or coerced vendor is out of scope. Multi-vendor attestation reduces but cannot eliminate this.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000000"/>
          <w:sz w:val="22"/>
          <w:szCs w:val="22"/>
        </w:rPr>
        <w:t xml:space="preserve">Confidentiality is unverifiable after the fact: </w:t>
      </w:r>
      <w:r>
        <w:rPr>
          <w:color w:val="000000"/>
          <w:sz w:val="22"/>
          <w:szCs w:val="22"/>
        </w:rPr>
        <w:t xml:space="preserve">unlike integrity, a non-leak cannot be proven by re-execution; FHE/MPC would remove hardware trust but are impractical for LLMs today (future work).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000000"/>
          <w:sz w:val="22"/>
          <w:szCs w:val="22"/>
        </w:rPr>
        <w:t xml:space="preserve">Not first-of-its-kind: </w:t>
      </w:r>
      <w:r>
        <w:rPr>
          <w:color w:val="000000"/>
          <w:sz w:val="22"/>
          <w:szCs w:val="22"/>
        </w:rPr>
        <w:t xml:space="preserve">Targon already runs token-incentivized TEE inference on Bittensor; AttestMint's value is a simpler, auditable mechanism and an explicit trust model, not a novel category.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000000"/>
          <w:sz w:val="22"/>
          <w:szCs w:val="22"/>
        </w:rPr>
        <w:t xml:space="preserve">Demo scope: </w:t>
      </w:r>
      <w:r>
        <w:rPr>
          <w:color w:val="000000"/>
          <w:sz w:val="22"/>
          <w:szCs w:val="22"/>
        </w:rPr>
        <w:t xml:space="preserve">no real consensus, networking, or GPU-TEE hardware — these are simulated so the project never blocks on infrastructure.</w:t>
      </w:r>
    </w:p>
    <w:p>
      <w:pPr>
        <w:pStyle w:val="Heading1"/>
        <w:spacing w:after="140" w:before="320"/>
      </w:pPr>
      <w:r>
        <w:rPr>
          <w:b/>
          <w:bCs/>
          <w:color w:val="000000"/>
          <w:sz w:val="28"/>
          <w:szCs w:val="28"/>
        </w:rPr>
        <w:t xml:space="preserve">References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sz w:val="22"/>
          <w:szCs w:val="22"/>
        </w:rPr>
        <w:t xml:space="preserve">VeriLLM: A Lightweight Framework for Publicly Verifiable Decentralized Inference. arXiv:2509.24257.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sz w:val="22"/>
          <w:szCs w:val="22"/>
        </w:rPr>
        <w:t xml:space="preserve">EigenAI: Deterministic Inference, Verifiable Results. arXiv:2602.00182.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sz w:val="22"/>
          <w:szCs w:val="22"/>
        </w:rPr>
        <w:t xml:space="preserve">Optimistic TEE-Rollups: Scalable and Verifiable Generative AI Inference on Blockchain. arXiv:2512.20176.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sz w:val="22"/>
          <w:szCs w:val="22"/>
        </w:rPr>
        <w:t xml:space="preserve">Privacy-Preserving Decentralized AI with Confidential Computing. arXiv:2410.13752.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sz w:val="22"/>
          <w:szCs w:val="22"/>
        </w:rPr>
        <w:t xml:space="preserve">Helium HIP-20 and Factom: Burn-and-Mint Equilibrium tokenomics.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sz w:val="22"/>
          <w:szCs w:val="22"/>
        </w:rPr>
        <w:t xml:space="preserve">Render Network — Burn-Mint Equilibrium (RNP-001), know.rendernetwork.com.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sz w:val="22"/>
          <w:szCs w:val="22"/>
        </w:rPr>
        <w:t xml:space="preserve">Targon (Manifold Labs and Intel): Decentralized Compute on Untrusted Hardware Using Intel TDX, 2026.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sz w:val="22"/>
          <w:szCs w:val="22"/>
        </w:rPr>
        <w:t xml:space="preserve">Gilad et al., Algorand: Scaling Byzantine Agreement (VRF-based cryptographic self-sortition).</w:t>
      </w:r>
    </w:p>
    <w:sectPr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5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2026-07-24T17:05:58.760Z</dcterms:created>
  <dcterms:modified xsi:type="dcterms:W3CDTF">2026-07-24T17:05:58.761Z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