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AC5" w:rsidRDefault="00F71E98">
      <w:pPr>
        <w:rPr>
          <w:rFonts w:ascii="Arial" w:hAnsi="Arial" w:cs="Arial"/>
          <w:color w:val="444444"/>
          <w:shd w:val="clear" w:color="auto" w:fill="FFFFFF"/>
        </w:rPr>
      </w:pPr>
      <w:r>
        <w:rPr>
          <w:rFonts w:ascii="Arial" w:hAnsi="Arial" w:cs="Arial"/>
          <w:color w:val="444444"/>
          <w:shd w:val="clear" w:color="auto" w:fill="FFFFFF"/>
        </w:rPr>
        <w:t>Collaborative tools help teams succeed A team is only as good as the sum of its members and their ability to work together. Collaboration tools leverage the responsibilities and talents of each individual into the greater success of the team</w:t>
      </w:r>
      <w:r>
        <w:rPr>
          <w:rFonts w:ascii="Arial" w:hAnsi="Arial" w:cs="Arial"/>
          <w:color w:val="444444"/>
          <w:shd w:val="clear" w:color="auto" w:fill="FFFFFF"/>
        </w:rPr>
        <w:t xml:space="preserve">. </w:t>
      </w:r>
      <w:r>
        <w:rPr>
          <w:rFonts w:ascii="Arial" w:hAnsi="Arial" w:cs="Arial"/>
          <w:color w:val="666666"/>
          <w:shd w:val="clear" w:color="auto" w:fill="FFFFFF"/>
        </w:rPr>
        <w:t>When</w:t>
      </w:r>
      <w:r>
        <w:rPr>
          <w:rStyle w:val="Strong"/>
          <w:rFonts w:ascii="Arial" w:hAnsi="Arial" w:cs="Arial"/>
          <w:color w:val="666666"/>
          <w:shd w:val="clear" w:color="auto" w:fill="FFFFFF"/>
        </w:rPr>
        <w:t> working in teams</w:t>
      </w:r>
      <w:r>
        <w:rPr>
          <w:rFonts w:ascii="Arial" w:hAnsi="Arial" w:cs="Arial"/>
          <w:color w:val="666666"/>
          <w:shd w:val="clear" w:color="auto" w:fill="FFFFFF"/>
        </w:rPr>
        <w:t>, work organization can get difficult. However, a collaborative tool can help you see clearer who is assigned to the different tasks and when they are due so the work organization is improved. · You want to increase your team’s productivity</w:t>
      </w:r>
    </w:p>
    <w:p w:rsidR="00F71E98" w:rsidRDefault="00F71E98">
      <w:pPr>
        <w:rPr>
          <w:rFonts w:ascii="Arial" w:hAnsi="Arial" w:cs="Arial"/>
          <w:color w:val="444444"/>
          <w:shd w:val="clear" w:color="auto" w:fill="FFFFFF"/>
        </w:rPr>
      </w:pPr>
      <w:r>
        <w:rPr>
          <w:rFonts w:ascii="Arial" w:hAnsi="Arial" w:cs="Arial"/>
          <w:color w:val="444444"/>
          <w:shd w:val="clear" w:color="auto" w:fill="FFFFFF"/>
        </w:rPr>
        <w:t xml:space="preserve">When to call for help in using Collaborative Tools include the following </w:t>
      </w:r>
    </w:p>
    <w:p w:rsidR="00713885" w:rsidRPr="00713885" w:rsidRDefault="00713885" w:rsidP="00713885">
      <w:pPr>
        <w:spacing w:after="330" w:line="240" w:lineRule="auto"/>
        <w:rPr>
          <w:rFonts w:eastAsia="Times New Roman" w:cs="Arial"/>
          <w:color w:val="000000" w:themeColor="text1"/>
          <w:sz w:val="24"/>
          <w:szCs w:val="24"/>
        </w:rPr>
      </w:pPr>
      <w:r w:rsidRPr="00713885">
        <w:rPr>
          <w:rFonts w:eastAsia="Times New Roman" w:cs="Arial"/>
          <w:b/>
          <w:bCs/>
          <w:color w:val="000000" w:themeColor="text1"/>
          <w:sz w:val="24"/>
          <w:szCs w:val="24"/>
        </w:rPr>
        <w:t>Diluting Your Vendor Relationships</w:t>
      </w:r>
    </w:p>
    <w:p w:rsidR="00713885" w:rsidRPr="00713885" w:rsidRDefault="00713885" w:rsidP="00713885">
      <w:pPr>
        <w:spacing w:after="330" w:line="240" w:lineRule="auto"/>
        <w:rPr>
          <w:rFonts w:eastAsia="Times New Roman" w:cs="Arial"/>
          <w:color w:val="000000" w:themeColor="text1"/>
          <w:sz w:val="24"/>
          <w:szCs w:val="24"/>
        </w:rPr>
      </w:pPr>
      <w:r w:rsidRPr="00713885">
        <w:rPr>
          <w:rFonts w:eastAsia="Times New Roman" w:cs="Arial"/>
          <w:color w:val="000000" w:themeColor="text1"/>
          <w:sz w:val="24"/>
          <w:szCs w:val="24"/>
        </w:rPr>
        <w:t>Apart from the top-line cost of adding more software or cloud solutions, each new collaboration tool brings with it some amount of training, integration, and maintenance expenses. But there’s a deeper and potentially more potent opportunity cost as well. When you spread your collaboration tools across a wide range of vendors, you miss the chance to establish a deep relationship with a provider that can invest time and energy understanding your business. This could mean missing out on </w:t>
      </w:r>
      <w:hyperlink r:id="rId5" w:tgtFrame="_blank" w:history="1">
        <w:r w:rsidRPr="00713885">
          <w:rPr>
            <w:rFonts w:eastAsia="Times New Roman" w:cs="Arial"/>
            <w:color w:val="000000" w:themeColor="text1"/>
            <w:sz w:val="24"/>
            <w:szCs w:val="24"/>
          </w:rPr>
          <w:t>what a true partnership delivers</w:t>
        </w:r>
      </w:hyperlink>
      <w:r w:rsidRPr="00713885">
        <w:rPr>
          <w:rFonts w:eastAsia="Times New Roman" w:cs="Arial"/>
          <w:color w:val="000000" w:themeColor="text1"/>
          <w:sz w:val="24"/>
          <w:szCs w:val="24"/>
        </w:rPr>
        <w:t> – personal communications about feature usage or new releases, exclusive beta or pilot programs, and complimentary services like training or implementation.</w:t>
      </w:r>
    </w:p>
    <w:p w:rsidR="00713885" w:rsidRPr="00713885" w:rsidRDefault="00713885" w:rsidP="00713885">
      <w:pPr>
        <w:spacing w:after="330" w:line="240" w:lineRule="auto"/>
        <w:rPr>
          <w:rFonts w:eastAsia="Times New Roman" w:cs="Arial"/>
          <w:color w:val="000000" w:themeColor="text1"/>
          <w:sz w:val="24"/>
          <w:szCs w:val="24"/>
        </w:rPr>
      </w:pPr>
      <w:r w:rsidRPr="00713885">
        <w:rPr>
          <w:rFonts w:eastAsia="Times New Roman" w:cs="Arial"/>
          <w:b/>
          <w:bCs/>
          <w:color w:val="000000" w:themeColor="text1"/>
          <w:sz w:val="24"/>
          <w:szCs w:val="24"/>
        </w:rPr>
        <w:t>Overloading Mobile Devices</w:t>
      </w:r>
    </w:p>
    <w:p w:rsidR="00713885" w:rsidRPr="00713885" w:rsidRDefault="00713885" w:rsidP="00713885">
      <w:pPr>
        <w:spacing w:after="330" w:line="240" w:lineRule="auto"/>
        <w:rPr>
          <w:rFonts w:eastAsia="Times New Roman" w:cs="Arial"/>
          <w:color w:val="000000" w:themeColor="text1"/>
          <w:sz w:val="24"/>
          <w:szCs w:val="24"/>
        </w:rPr>
      </w:pPr>
      <w:r w:rsidRPr="00713885">
        <w:rPr>
          <w:rFonts w:eastAsia="Times New Roman" w:cs="Arial"/>
          <w:color w:val="000000" w:themeColor="text1"/>
          <w:sz w:val="24"/>
          <w:szCs w:val="24"/>
        </w:rPr>
        <w:t>A typical collaboration application can be well over 100MB in size. That doesn’t sound like much on a traditional computer, but many employees are now using their </w:t>
      </w:r>
      <w:hyperlink r:id="rId6" w:tgtFrame="_blank" w:history="1">
        <w:r w:rsidRPr="00713885">
          <w:rPr>
            <w:rFonts w:eastAsia="Times New Roman" w:cs="Arial"/>
            <w:color w:val="000000" w:themeColor="text1"/>
            <w:sz w:val="24"/>
            <w:szCs w:val="24"/>
          </w:rPr>
          <w:t>mobile apps</w:t>
        </w:r>
      </w:hyperlink>
      <w:r w:rsidRPr="00713885">
        <w:rPr>
          <w:rFonts w:eastAsia="Times New Roman" w:cs="Arial"/>
          <w:color w:val="000000" w:themeColor="text1"/>
          <w:sz w:val="24"/>
          <w:szCs w:val="24"/>
        </w:rPr>
        <w:t> just as often as their computers for getting work done.  So given that a wide variety of today’s smartphones have 32G or less of storage, filling your employees phones with collaborations tools could mean they might spend more time trying to deal with “storage low” alerts than actually working within the tools themselves.</w:t>
      </w:r>
    </w:p>
    <w:p w:rsidR="00713885" w:rsidRPr="00713885" w:rsidRDefault="00713885" w:rsidP="00713885">
      <w:pPr>
        <w:spacing w:after="330" w:line="240" w:lineRule="auto"/>
        <w:rPr>
          <w:rFonts w:eastAsia="Times New Roman" w:cs="Arial"/>
          <w:color w:val="000000" w:themeColor="text1"/>
          <w:sz w:val="24"/>
          <w:szCs w:val="24"/>
        </w:rPr>
      </w:pPr>
      <w:r w:rsidRPr="00713885">
        <w:rPr>
          <w:rFonts w:eastAsia="Times New Roman" w:cs="Arial"/>
          <w:b/>
          <w:bCs/>
          <w:color w:val="000000" w:themeColor="text1"/>
          <w:sz w:val="24"/>
          <w:szCs w:val="24"/>
        </w:rPr>
        <w:t>Eroding User Trust</w:t>
      </w:r>
    </w:p>
    <w:p w:rsidR="00713885" w:rsidRPr="00713885" w:rsidRDefault="00713885" w:rsidP="00713885">
      <w:pPr>
        <w:spacing w:after="0" w:line="240" w:lineRule="auto"/>
        <w:rPr>
          <w:rFonts w:eastAsia="Times New Roman" w:cs="Arial"/>
          <w:color w:val="000000" w:themeColor="text1"/>
          <w:sz w:val="24"/>
          <w:szCs w:val="24"/>
        </w:rPr>
      </w:pPr>
      <w:r w:rsidRPr="00713885">
        <w:rPr>
          <w:rFonts w:eastAsia="Times New Roman" w:cs="Arial"/>
          <w:color w:val="000000" w:themeColor="text1"/>
          <w:sz w:val="24"/>
          <w:szCs w:val="24"/>
        </w:rPr>
        <w:t xml:space="preserve">Consistency breeds trust, and inconsistency erodes it. Your employees want to feel confident that you’re providing them the proverbial “latest-and-greatest” tools, and they know where to find assets they need or the </w:t>
      </w:r>
      <w:proofErr w:type="spellStart"/>
      <w:r w:rsidRPr="00713885">
        <w:rPr>
          <w:rFonts w:eastAsia="Times New Roman" w:cs="Arial"/>
          <w:color w:val="000000" w:themeColor="text1"/>
          <w:sz w:val="24"/>
          <w:szCs w:val="24"/>
        </w:rPr>
        <w:t>the</w:t>
      </w:r>
      <w:proofErr w:type="spellEnd"/>
      <w:r w:rsidRPr="00713885">
        <w:rPr>
          <w:rFonts w:eastAsia="Times New Roman" w:cs="Arial"/>
          <w:color w:val="000000" w:themeColor="text1"/>
          <w:sz w:val="24"/>
          <w:szCs w:val="24"/>
        </w:rPr>
        <w:t xml:space="preserve"> people they need to connect to. Scattering assets and experts across numerous collaboration tools undermines that trust they have in you. Building integrations and connectors between tools just increases costs and creates more software to maintain. Think about the best ways to put a “single source of the truth”, or as close as you can reasonably come, in front of your users.</w:t>
      </w:r>
    </w:p>
    <w:p w:rsidR="00713885" w:rsidRPr="00713885" w:rsidRDefault="00713885" w:rsidP="00713885">
      <w:pPr>
        <w:spacing w:after="0" w:line="240" w:lineRule="auto"/>
        <w:rPr>
          <w:rFonts w:eastAsia="Times New Roman" w:cs="Arial"/>
          <w:color w:val="000000" w:themeColor="text1"/>
          <w:sz w:val="24"/>
          <w:szCs w:val="24"/>
        </w:rPr>
      </w:pPr>
      <w:r w:rsidRPr="00713885">
        <w:rPr>
          <w:rFonts w:eastAsia="Times New Roman" w:cs="Arial"/>
          <w:b/>
          <w:bCs/>
          <w:color w:val="000000" w:themeColor="text1"/>
          <w:sz w:val="24"/>
          <w:szCs w:val="24"/>
        </w:rPr>
        <w:br/>
        <w:t>Ignoring Your Real Collaboration Challenges</w:t>
      </w:r>
    </w:p>
    <w:p w:rsidR="00713885" w:rsidRDefault="00713885" w:rsidP="00713885">
      <w:pPr>
        <w:spacing w:after="330" w:line="240" w:lineRule="auto"/>
        <w:rPr>
          <w:rFonts w:eastAsia="Times New Roman" w:cs="Arial"/>
          <w:color w:val="000000" w:themeColor="text1"/>
          <w:sz w:val="24"/>
          <w:szCs w:val="24"/>
        </w:rPr>
      </w:pPr>
      <w:r w:rsidRPr="00713885">
        <w:rPr>
          <w:rFonts w:eastAsia="Times New Roman" w:cs="Arial"/>
          <w:color w:val="000000" w:themeColor="text1"/>
          <w:sz w:val="24"/>
          <w:szCs w:val="24"/>
        </w:rPr>
        <w:t>Maybe your collaboration problems don’t lie within the tool – but within the communication style itself. Adding more tools may be a costly way of ignoring deeper problems with your training, culture, or workplace compatibility. A </w:t>
      </w:r>
      <w:hyperlink r:id="rId7" w:tgtFrame="_blank" w:history="1">
        <w:r w:rsidRPr="00713885">
          <w:rPr>
            <w:rFonts w:eastAsia="Times New Roman" w:cs="Arial"/>
            <w:color w:val="000000" w:themeColor="text1"/>
            <w:sz w:val="24"/>
            <w:szCs w:val="24"/>
          </w:rPr>
          <w:t>Harvard Business Review article</w:t>
        </w:r>
      </w:hyperlink>
      <w:r w:rsidRPr="00713885">
        <w:rPr>
          <w:rFonts w:eastAsia="Times New Roman" w:cs="Arial"/>
          <w:color w:val="000000" w:themeColor="text1"/>
          <w:sz w:val="24"/>
          <w:szCs w:val="24"/>
        </w:rPr>
        <w:t xml:space="preserve"> points out that cumbersome management layers, poor feedback practices, and organizational complexity all </w:t>
      </w:r>
      <w:r w:rsidRPr="00713885">
        <w:rPr>
          <w:rFonts w:eastAsia="Times New Roman" w:cs="Arial"/>
          <w:color w:val="000000" w:themeColor="text1"/>
          <w:sz w:val="24"/>
          <w:szCs w:val="24"/>
        </w:rPr>
        <w:lastRenderedPageBreak/>
        <w:t>have fixes that require attention, but don’t require software. Get together with your human resources department, talk, and ask hard questions about what people need in order to better work together.</w:t>
      </w:r>
    </w:p>
    <w:p w:rsidR="00713885" w:rsidRPr="00713885" w:rsidRDefault="00713885" w:rsidP="00713885">
      <w:pPr>
        <w:pStyle w:val="NormalWeb"/>
        <w:spacing w:before="0" w:beforeAutospacing="0" w:after="330" w:afterAutospacing="0"/>
        <w:rPr>
          <w:rFonts w:asciiTheme="minorHAnsi" w:hAnsiTheme="minorHAnsi" w:cs="Arial"/>
          <w:color w:val="000000" w:themeColor="text1"/>
        </w:rPr>
      </w:pPr>
      <w:r w:rsidRPr="00713885">
        <w:rPr>
          <w:rStyle w:val="Strong"/>
          <w:rFonts w:asciiTheme="minorHAnsi" w:hAnsiTheme="minorHAnsi" w:cs="Arial"/>
          <w:color w:val="000000" w:themeColor="text1"/>
        </w:rPr>
        <w:t>Buying a Permanent Solution to a Temporary Problem</w:t>
      </w:r>
    </w:p>
    <w:p w:rsidR="00713885" w:rsidRPr="00713885" w:rsidRDefault="00713885" w:rsidP="00713885">
      <w:pPr>
        <w:pStyle w:val="NormalWeb"/>
        <w:spacing w:before="0" w:beforeAutospacing="0" w:after="330" w:afterAutospacing="0"/>
        <w:rPr>
          <w:rFonts w:asciiTheme="minorHAnsi" w:hAnsiTheme="minorHAnsi" w:cs="Arial"/>
          <w:color w:val="000000" w:themeColor="text1"/>
        </w:rPr>
      </w:pPr>
      <w:r w:rsidRPr="00713885">
        <w:rPr>
          <w:rFonts w:asciiTheme="minorHAnsi" w:hAnsiTheme="minorHAnsi" w:cs="Arial"/>
          <w:color w:val="000000" w:themeColor="text1"/>
        </w:rPr>
        <w:t>Users often ask for new collaboration tools out of impatience and frustration with their current option. But </w:t>
      </w:r>
      <w:hyperlink r:id="rId8" w:tgtFrame="_blank" w:history="1">
        <w:r w:rsidRPr="00713885">
          <w:rPr>
            <w:rStyle w:val="Hyperlink"/>
            <w:rFonts w:asciiTheme="minorHAnsi" w:hAnsiTheme="minorHAnsi" w:cs="Arial"/>
            <w:color w:val="000000" w:themeColor="text1"/>
            <w:u w:val="none"/>
          </w:rPr>
          <w:t>sometimes</w:t>
        </w:r>
      </w:hyperlink>
      <w:r w:rsidRPr="00713885">
        <w:rPr>
          <w:rFonts w:asciiTheme="minorHAnsi" w:hAnsiTheme="minorHAnsi" w:cs="Arial"/>
          <w:color w:val="000000" w:themeColor="text1"/>
        </w:rPr>
        <w:t>, the real issue would be solved by spending a little more time learning about the tool they already have. One way to deal with this is to spend time doing root-cause analysis with user</w:t>
      </w:r>
      <w:bookmarkStart w:id="0" w:name="_GoBack"/>
      <w:bookmarkEnd w:id="0"/>
      <w:r w:rsidRPr="00713885">
        <w:rPr>
          <w:rFonts w:asciiTheme="minorHAnsi" w:hAnsiTheme="minorHAnsi" w:cs="Arial"/>
          <w:color w:val="000000" w:themeColor="text1"/>
        </w:rPr>
        <w:t>s when they criticize the collaboration tools available to them. You can discover if the most strident complaints are about capabilities you actually offer users, and determine if they aren’t working, aren’t accessible, or just aren’t sufficiently clear. You can also discover ways to refine training processes so everyone is more confident using the tools they have on hand.</w:t>
      </w:r>
    </w:p>
    <w:p w:rsidR="00713885" w:rsidRPr="00713885" w:rsidRDefault="00713885" w:rsidP="00713885">
      <w:pPr>
        <w:spacing w:after="330" w:line="240" w:lineRule="auto"/>
        <w:rPr>
          <w:rFonts w:eastAsia="Times New Roman" w:cs="Arial"/>
          <w:color w:val="000000" w:themeColor="text1"/>
          <w:sz w:val="24"/>
          <w:szCs w:val="24"/>
        </w:rPr>
      </w:pPr>
    </w:p>
    <w:p w:rsidR="00F71E98" w:rsidRDefault="00F71E98">
      <w:pPr>
        <w:rPr>
          <w:rFonts w:ascii="Arial" w:hAnsi="Arial" w:cs="Arial"/>
          <w:color w:val="444444"/>
          <w:shd w:val="clear" w:color="auto" w:fill="FFFFFF"/>
        </w:rPr>
      </w:pPr>
    </w:p>
    <w:p w:rsidR="00F71E98" w:rsidRPr="00F71E98" w:rsidRDefault="00F71E98">
      <w:pPr>
        <w:rPr>
          <w:rFonts w:ascii="Arial" w:hAnsi="Arial" w:cs="Arial"/>
          <w:color w:val="444444"/>
          <w:shd w:val="clear" w:color="auto" w:fill="FFFFFF"/>
        </w:rPr>
      </w:pPr>
    </w:p>
    <w:sectPr w:rsidR="00F71E98" w:rsidRPr="00F71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98"/>
    <w:rsid w:val="000958D8"/>
    <w:rsid w:val="000F64A6"/>
    <w:rsid w:val="00663C33"/>
    <w:rsid w:val="00713885"/>
    <w:rsid w:val="007B364C"/>
    <w:rsid w:val="008404BD"/>
    <w:rsid w:val="00D24AC5"/>
    <w:rsid w:val="00F7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1E98"/>
    <w:rPr>
      <w:b/>
      <w:bCs/>
    </w:rPr>
  </w:style>
  <w:style w:type="paragraph" w:styleId="NormalWeb">
    <w:name w:val="Normal (Web)"/>
    <w:basedOn w:val="Normal"/>
    <w:uiPriority w:val="99"/>
    <w:semiHidden/>
    <w:unhideWhenUsed/>
    <w:rsid w:val="007138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38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71E98"/>
    <w:rPr>
      <w:b/>
      <w:bCs/>
    </w:rPr>
  </w:style>
  <w:style w:type="paragraph" w:styleId="NormalWeb">
    <w:name w:val="Normal (Web)"/>
    <w:basedOn w:val="Normal"/>
    <w:uiPriority w:val="99"/>
    <w:semiHidden/>
    <w:unhideWhenUsed/>
    <w:rsid w:val="007138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38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96267">
      <w:bodyDiv w:val="1"/>
      <w:marLeft w:val="0"/>
      <w:marRight w:val="0"/>
      <w:marTop w:val="0"/>
      <w:marBottom w:val="0"/>
      <w:divBdr>
        <w:top w:val="none" w:sz="0" w:space="0" w:color="auto"/>
        <w:left w:val="none" w:sz="0" w:space="0" w:color="auto"/>
        <w:bottom w:val="none" w:sz="0" w:space="0" w:color="auto"/>
        <w:right w:val="none" w:sz="0" w:space="0" w:color="auto"/>
      </w:divBdr>
      <w:divsChild>
        <w:div w:id="1455715050">
          <w:marLeft w:val="0"/>
          <w:marRight w:val="0"/>
          <w:marTop w:val="0"/>
          <w:marBottom w:val="0"/>
          <w:divBdr>
            <w:top w:val="none" w:sz="0" w:space="0" w:color="auto"/>
            <w:left w:val="none" w:sz="0" w:space="0" w:color="auto"/>
            <w:bottom w:val="none" w:sz="0" w:space="0" w:color="auto"/>
            <w:right w:val="none" w:sz="0" w:space="0" w:color="auto"/>
          </w:divBdr>
        </w:div>
        <w:div w:id="852693161">
          <w:marLeft w:val="0"/>
          <w:marRight w:val="0"/>
          <w:marTop w:val="0"/>
          <w:marBottom w:val="0"/>
          <w:divBdr>
            <w:top w:val="none" w:sz="0" w:space="0" w:color="auto"/>
            <w:left w:val="none" w:sz="0" w:space="0" w:color="auto"/>
            <w:bottom w:val="none" w:sz="0" w:space="0" w:color="auto"/>
            <w:right w:val="none" w:sz="0" w:space="0" w:color="auto"/>
          </w:divBdr>
        </w:div>
        <w:div w:id="797333500">
          <w:marLeft w:val="0"/>
          <w:marRight w:val="0"/>
          <w:marTop w:val="0"/>
          <w:marBottom w:val="0"/>
          <w:divBdr>
            <w:top w:val="none" w:sz="0" w:space="0" w:color="auto"/>
            <w:left w:val="none" w:sz="0" w:space="0" w:color="auto"/>
            <w:bottom w:val="none" w:sz="0" w:space="0" w:color="auto"/>
            <w:right w:val="none" w:sz="0" w:space="0" w:color="auto"/>
          </w:divBdr>
        </w:div>
        <w:div w:id="107356496">
          <w:marLeft w:val="0"/>
          <w:marRight w:val="0"/>
          <w:marTop w:val="0"/>
          <w:marBottom w:val="0"/>
          <w:divBdr>
            <w:top w:val="none" w:sz="0" w:space="0" w:color="auto"/>
            <w:left w:val="none" w:sz="0" w:space="0" w:color="auto"/>
            <w:bottom w:val="none" w:sz="0" w:space="0" w:color="auto"/>
            <w:right w:val="none" w:sz="0" w:space="0" w:color="auto"/>
          </w:divBdr>
        </w:div>
      </w:divsChild>
    </w:div>
    <w:div w:id="160526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week.com/digital/5-ways-to-improve-digital-collaboration-in-the-workplace/" TargetMode="External"/><Relationship Id="rId3" Type="http://schemas.openxmlformats.org/officeDocument/2006/relationships/settings" Target="settings.xml"/><Relationship Id="rId7" Type="http://schemas.openxmlformats.org/officeDocument/2006/relationships/hyperlink" Target="https://hbr.org/2017/03/collaboration-overload-is-a-symptom-of-a-deeper-organizational-proble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log.gotomeeting.com/gotomeeting-messenger-app-defines-mobile-productivity/" TargetMode="External"/><Relationship Id="rId5" Type="http://schemas.openxmlformats.org/officeDocument/2006/relationships/hyperlink" Target="https://www.gotomeeting.com/reliable-onboarding-partn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2022-06-16T00:10:00Z</dcterms:created>
  <dcterms:modified xsi:type="dcterms:W3CDTF">2022-06-16T00:49:00Z</dcterms:modified>
</cp:coreProperties>
</file>