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0D2A" w14:textId="1EC31D46" w:rsidR="00432383" w:rsidRPr="00A03C4A" w:rsidRDefault="00000000">
      <w:pPr>
        <w:spacing w:after="240" w:line="360" w:lineRule="auto"/>
        <w:jc w:val="both"/>
        <w:rPr>
          <w:rFonts w:cs="Times New Roman"/>
        </w:rPr>
      </w:pPr>
      <w:r w:rsidRPr="00A03C4A">
        <w:rPr>
          <w:rFonts w:cs="Times New Roman"/>
        </w:rPr>
        <w:t>Vũ Đức Mạnh</w:t>
      </w:r>
    </w:p>
    <w:p w14:paraId="5BDC742C" w14:textId="66604D88" w:rsidR="00432383" w:rsidRPr="00A03C4A" w:rsidRDefault="00000000" w:rsidP="00A03C4A">
      <w:pPr>
        <w:spacing w:after="240" w:line="360" w:lineRule="auto"/>
        <w:jc w:val="both"/>
        <w:rPr>
          <w:rFonts w:cs="Times New Roman"/>
        </w:rPr>
      </w:pPr>
      <w:r w:rsidRPr="00A03C4A">
        <w:rPr>
          <w:rFonts w:cs="Times New Roman"/>
        </w:rPr>
        <w:t xml:space="preserve">Emerging Consensus Protocols </w:t>
      </w:r>
    </w:p>
    <w:p w14:paraId="66E6DA8D"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I. Introduction to Emerging Consensus Mechanisms</w:t>
      </w:r>
    </w:p>
    <w:p w14:paraId="415B34A1" w14:textId="77777777" w:rsidR="00432383" w:rsidRPr="00A03C4A" w:rsidRDefault="00000000">
      <w:pPr>
        <w:spacing w:after="240" w:line="360" w:lineRule="auto"/>
        <w:jc w:val="both"/>
        <w:rPr>
          <w:rFonts w:cs="Times New Roman"/>
        </w:rPr>
      </w:pPr>
      <w:r w:rsidRPr="00A03C4A">
        <w:rPr>
          <w:rFonts w:cs="Times New Roman"/>
        </w:rPr>
        <w:t>The evolution of blockchain consensus mechanisms is defined by a continuous struggle to resolve the fundamental trade-offs between security, decentralization, and scalability. In 2008, Satoshi Nakamoto introduced the Proof-of-Work (PoW) consensus algorithm via the Bitcoin network, fundamentally establishing the longest-chain rule and the proof-of-work puzzle as the gold standard for decentralized trust (Nakamoto, 2008). PoW anchored its security in thermodynamics, requiring network participants to expend vast amounts of physical energy and computational power. While robust and highly resilient against Sybil attacks, PoW quickly revealed critical limitations regarding environmental sustainability, limited transaction throughput, and probabilistic finality. These bottlenecks became exponentially more pronounced following the introduction of Turing-complete smart contracts and decentralized applications, a paradigm shift motivated by the Ethereum Whitepaper (Buterin, 2014).</w:t>
      </w:r>
    </w:p>
    <w:p w14:paraId="62FEE36C" w14:textId="77777777" w:rsidR="00432383" w:rsidRPr="00A03C4A" w:rsidRDefault="00000000">
      <w:pPr>
        <w:spacing w:after="240" w:line="360" w:lineRule="auto"/>
        <w:jc w:val="both"/>
        <w:rPr>
          <w:rFonts w:cs="Times New Roman"/>
        </w:rPr>
      </w:pPr>
      <w:r w:rsidRPr="00A03C4A">
        <w:rPr>
          <w:rFonts w:cs="Times New Roman"/>
        </w:rPr>
        <w:t xml:space="preserve">To address the inherent energy inefficiency and scalability limits of PoW, Proof-of-Stake (PoS) was introduced as a radical economic alternative. In PoS systems, the physical expenditure of computing power is replaced by the virtual locking of capital. Foundational PoS protocols, such as Ouroboros, provided the first formal, rigorous security proofs for stake-based consensus, utilizing epochs, slots, and random slot-leader elections like "Follow the Satoshi" to make honest behavior a Nash equilibrium (Kiayias et al., 2017). Similarly, Ethereum transitioned toward PoS using Casper the Friendly Finality Gadget (Casper FFG), which layered an explicit finality mechanism and slashing conditions over the blockchain to penalize malicious behavior such as </w:t>
      </w:r>
      <w:proofErr w:type="gramStart"/>
      <w:r w:rsidRPr="00A03C4A">
        <w:rPr>
          <w:rFonts w:cs="Times New Roman"/>
        </w:rPr>
        <w:t>double-voting</w:t>
      </w:r>
      <w:proofErr w:type="gramEnd"/>
      <w:r w:rsidRPr="00A03C4A">
        <w:rPr>
          <w:rFonts w:cs="Times New Roman"/>
        </w:rPr>
        <w:t xml:space="preserve"> (Buterin &amp; Griffith, 2017).</w:t>
      </w:r>
    </w:p>
    <w:p w14:paraId="67678564" w14:textId="77777777" w:rsidR="00432383" w:rsidRPr="00A03C4A" w:rsidRDefault="00000000">
      <w:pPr>
        <w:spacing w:after="240" w:line="360" w:lineRule="auto"/>
        <w:jc w:val="both"/>
        <w:rPr>
          <w:rFonts w:cs="Times New Roman"/>
        </w:rPr>
      </w:pPr>
      <w:r w:rsidRPr="00A03C4A">
        <w:rPr>
          <w:rFonts w:cs="Times New Roman"/>
        </w:rPr>
        <w:t xml:space="preserve">However, as analyzing the Beacon Chain and Ethereum consensus specifications </w:t>
      </w:r>
      <w:proofErr w:type="gramStart"/>
      <w:r w:rsidRPr="00A03C4A">
        <w:rPr>
          <w:rFonts w:cs="Times New Roman"/>
        </w:rPr>
        <w:t>reveals</w:t>
      </w:r>
      <w:proofErr w:type="gramEnd"/>
      <w:r w:rsidRPr="00A03C4A">
        <w:rPr>
          <w:rFonts w:cs="Times New Roman"/>
        </w:rPr>
        <w:t xml:space="preserve"> (Ethereum Foundation, n.d.; Upgrading Ethereum, n.d.), traditional PoS mechanisms are far from flawless. They introduced a new class of severe vulnerabilities and theoretical limitations. Foremost among these are weak subjectivity, where newly joining nodes must trust a recent checkpoint because they cannot objectively determine the valid chain (Buterin, 2014; Asgaonkar, </w:t>
      </w:r>
      <w:r w:rsidRPr="00A03C4A">
        <w:rPr>
          <w:rFonts w:cs="Times New Roman"/>
        </w:rPr>
        <w:lastRenderedPageBreak/>
        <w:t>2020), and long-range attacks, where malicious actors can rewrite history from a deep past state (Deirmentzoglou et al., 2019; Gaži, 2018). Furthermore, the financialization of consensus has led to severe validator centralization, raising concerns about wealth distribution and the balance between participation and decentralization (Buterin et al., 2023; Grandjean et al., 2023; Kiayias et al., 2024; Kuśmierz &amp; Overko, 2022).</w:t>
      </w:r>
    </w:p>
    <w:p w14:paraId="09754165" w14:textId="77777777" w:rsidR="00432383" w:rsidRPr="00A03C4A" w:rsidRDefault="00000000">
      <w:pPr>
        <w:spacing w:after="240" w:line="360" w:lineRule="auto"/>
        <w:jc w:val="both"/>
        <w:rPr>
          <w:rFonts w:cs="Times New Roman"/>
        </w:rPr>
      </w:pPr>
      <w:r w:rsidRPr="00A03C4A">
        <w:rPr>
          <w:rFonts w:cs="Times New Roman"/>
        </w:rPr>
        <w:t xml:space="preserve">In response to the lingering limitations of Nakamoto consensus and traditional PoS, the blockchain industry has witnessed the development of "emerging consensus protocols." These architectures depart entirely from standard linear blockchains and probabilistic finality models. By integrating distributed </w:t>
      </w:r>
      <w:proofErr w:type="gramStart"/>
      <w:r w:rsidRPr="00A03C4A">
        <w:rPr>
          <w:rFonts w:cs="Times New Roman"/>
        </w:rPr>
        <w:t>systems theory—</w:t>
      </w:r>
      <w:proofErr w:type="gramEnd"/>
      <w:r w:rsidRPr="00A03C4A">
        <w:rPr>
          <w:rFonts w:cs="Times New Roman"/>
        </w:rPr>
        <w:t>such as classical Byzantine Fault Tolerance (BFT) and Directed Acyclic Graphs (</w:t>
      </w:r>
      <w:proofErr w:type="gramStart"/>
      <w:r w:rsidRPr="00A03C4A">
        <w:rPr>
          <w:rFonts w:cs="Times New Roman"/>
        </w:rPr>
        <w:t>DAG)—</w:t>
      </w:r>
      <w:proofErr w:type="gramEnd"/>
      <w:r w:rsidRPr="00A03C4A">
        <w:rPr>
          <w:rFonts w:cs="Times New Roman"/>
        </w:rPr>
        <w:t>with PoS economic weighting, protocols like Tendermint and Avalanche aim to achieve sub-second finality, massive throughput, and deterministic security guarantees. This section provides an extensive analysis of Tendermint and Avalanche, examining their mechanics, advantages, limitations, and specific attack vectors, while evaluating how they address the overarching flaws of traditional PoS.</w:t>
      </w:r>
    </w:p>
    <w:p w14:paraId="725A8107"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II. The Theoretical Foundation: BFT and Liveness Assumptions</w:t>
      </w:r>
    </w:p>
    <w:p w14:paraId="1514D25F" w14:textId="77777777" w:rsidR="00432383" w:rsidRPr="00A03C4A" w:rsidRDefault="00000000">
      <w:pPr>
        <w:spacing w:after="240" w:line="360" w:lineRule="auto"/>
        <w:jc w:val="both"/>
        <w:rPr>
          <w:rFonts w:cs="Times New Roman"/>
        </w:rPr>
      </w:pPr>
      <w:r w:rsidRPr="00A03C4A">
        <w:rPr>
          <w:rFonts w:cs="Times New Roman"/>
        </w:rPr>
        <w:t xml:space="preserve">To comprehend emerging PoS protocols, one must examine the theoretical foundation of Byzantine Fault Tolerance (BFT). The Byzantine Generals Problem describes a scenario where decentralized actors must agree on a coordinated strategy, despite some actors being corrupt or broadcasting false information. </w:t>
      </w:r>
      <w:proofErr w:type="gramStart"/>
      <w:r w:rsidRPr="00A03C4A">
        <w:rPr>
          <w:rFonts w:cs="Times New Roman"/>
        </w:rPr>
        <w:t>A major breakthrough</w:t>
      </w:r>
      <w:proofErr w:type="gramEnd"/>
      <w:r w:rsidRPr="00A03C4A">
        <w:rPr>
          <w:rFonts w:cs="Times New Roman"/>
        </w:rPr>
        <w:t xml:space="preserve"> occurred with Practical Byzantine Fault Tolerance (PBFT), which provided a highly efficient algorithm capable of ensuring both safety and liveness in asynchronous environments, provided that the number of malicious or faulty nodes (f) does not equal or exceed one-third of the total network nodes (n). The safety of the system is guaranteed as long as n ≥ 3f + 1 (Castro &amp; Liskov, 1999).</w:t>
      </w:r>
    </w:p>
    <w:p w14:paraId="5AD73E7B" w14:textId="77777777" w:rsidR="00432383" w:rsidRPr="00A03C4A" w:rsidRDefault="00000000">
      <w:pPr>
        <w:spacing w:after="240" w:line="360" w:lineRule="auto"/>
        <w:jc w:val="both"/>
        <w:rPr>
          <w:rFonts w:cs="Times New Roman"/>
        </w:rPr>
      </w:pPr>
      <w:r w:rsidRPr="00A03C4A">
        <w:rPr>
          <w:rFonts w:cs="Times New Roman"/>
        </w:rPr>
        <w:t>PBFT guarantees absolute deterministic finality; once a decision is committed by a two-thirds majority, it can never be reverted unless the fundamental security assumption is broken. Enterprise-grade, permissioned blockchains utilize direct implementations of PBFT because Sybil attacks are impossible when participant identities are known (Hyperledger, n.d.). However, applying PBFT to public blockchains requires a mechanism to prevent Sybil attacks, which is achieved by merging PBFT mechanics with Proof-of-Stake economic weighting.</w:t>
      </w:r>
    </w:p>
    <w:p w14:paraId="0E84E8D3" w14:textId="77777777" w:rsidR="00432383" w:rsidRPr="00A03C4A" w:rsidRDefault="00000000">
      <w:pPr>
        <w:spacing w:after="240" w:line="360" w:lineRule="auto"/>
        <w:jc w:val="both"/>
        <w:rPr>
          <w:rFonts w:cs="Times New Roman"/>
        </w:rPr>
      </w:pPr>
      <w:r w:rsidRPr="00A03C4A">
        <w:rPr>
          <w:rFonts w:cs="Times New Roman"/>
        </w:rPr>
        <w:lastRenderedPageBreak/>
        <w:t xml:space="preserve">This approach represents a philosophical departure from models that prioritize continuous operation. For instance, The Sleepy Consensus model provides a formal framework for consensus with </w:t>
      </w:r>
      <w:proofErr w:type="gramStart"/>
      <w:r w:rsidRPr="00A03C4A">
        <w:rPr>
          <w:rFonts w:cs="Times New Roman"/>
        </w:rPr>
        <w:t>intermittently-online</w:t>
      </w:r>
      <w:proofErr w:type="gramEnd"/>
      <w:r w:rsidRPr="00A03C4A">
        <w:rPr>
          <w:rFonts w:cs="Times New Roman"/>
        </w:rPr>
        <w:t xml:space="preserve"> participants, ensuring the chain continues to grow even if many nodes are asleep (Pass &amp; Shi, 2017). While Sleepy Consensus prioritizes liveness (availability), BFT-based models like Tendermint strictly prioritize safety (consistency). If a network partition occurs, a BFT network will halt entirely rather than risk a chain split, ensuring that users never face a catastrophic reorganization.</w:t>
      </w:r>
    </w:p>
    <w:p w14:paraId="1BE4AEF6"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III. Tendermint Consensus</w:t>
      </w:r>
    </w:p>
    <w:p w14:paraId="2F18D1B5" w14:textId="77777777" w:rsidR="00432383" w:rsidRPr="00A03C4A" w:rsidRDefault="00000000">
      <w:pPr>
        <w:spacing w:after="240" w:line="360" w:lineRule="auto"/>
        <w:jc w:val="both"/>
        <w:rPr>
          <w:rFonts w:cs="Times New Roman"/>
        </w:rPr>
      </w:pPr>
      <w:r w:rsidRPr="00A03C4A">
        <w:rPr>
          <w:rFonts w:cs="Times New Roman"/>
        </w:rPr>
        <w:t>Tendermint is one of the earliest and most successful adaptations of classical PBFT consensus for public, permissionless blockchain environments.</w:t>
      </w:r>
    </w:p>
    <w:p w14:paraId="6631EB63"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III.1. Definition and Operational Mechanics</w:t>
      </w:r>
    </w:p>
    <w:p w14:paraId="24201E9E" w14:textId="77777777" w:rsidR="00432383" w:rsidRPr="00A03C4A" w:rsidRDefault="00000000">
      <w:pPr>
        <w:spacing w:after="240" w:line="360" w:lineRule="auto"/>
        <w:jc w:val="both"/>
        <w:rPr>
          <w:rFonts w:cs="Times New Roman"/>
        </w:rPr>
      </w:pPr>
      <w:r w:rsidRPr="00A03C4A">
        <w:rPr>
          <w:rFonts w:cs="Times New Roman"/>
        </w:rPr>
        <w:t>Created in 2014, Tendermint replaces the traditional identity-based node weighting of PBFT with a stake-based weighting system (Tendermint, n.d.). In this architecture, a validator's voting power during the BFT consensus rounds is strictly proportional to the amount of native cryptocurrency they have bonded (staked) to the network.</w:t>
      </w:r>
    </w:p>
    <w:p w14:paraId="7F434B37" w14:textId="77777777" w:rsidR="00432383" w:rsidRPr="00A03C4A" w:rsidRDefault="00000000">
      <w:pPr>
        <w:spacing w:after="240" w:line="360" w:lineRule="auto"/>
        <w:jc w:val="both"/>
        <w:rPr>
          <w:rFonts w:cs="Times New Roman"/>
        </w:rPr>
      </w:pPr>
      <w:r w:rsidRPr="00A03C4A">
        <w:rPr>
          <w:rFonts w:cs="Times New Roman"/>
        </w:rPr>
        <w:t>The operational mechanics of Tendermint are modeled as a deterministic state machine replication algorithm. Time is divided into blocks (heights), and the network engages in a multi-phase voting process for each height. The consensus loop consists of three primary steps: Propose, Prevote, and Precommit.</w:t>
      </w:r>
    </w:p>
    <w:p w14:paraId="53A9898C" w14:textId="77777777" w:rsidR="00432383" w:rsidRPr="00A03C4A" w:rsidRDefault="00000000">
      <w:pPr>
        <w:spacing w:after="240" w:line="360" w:lineRule="auto"/>
        <w:jc w:val="both"/>
        <w:rPr>
          <w:rFonts w:cs="Times New Roman"/>
        </w:rPr>
      </w:pPr>
      <w:r w:rsidRPr="00A03C4A">
        <w:rPr>
          <w:rFonts w:cs="Times New Roman"/>
        </w:rPr>
        <w:t>1. Propose Phase: A designated validator (the proposer) constructs a block of transactions and broadcasts it to the network. The proposer is selected via a deterministic, stake-weighted round-robin algorithm. If the proposer is offline or acts maliciously, the network times out and transitions to the next proposer.</w:t>
      </w:r>
    </w:p>
    <w:p w14:paraId="2A0E9069" w14:textId="77777777" w:rsidR="00432383" w:rsidRPr="00A03C4A" w:rsidRDefault="00000000">
      <w:pPr>
        <w:spacing w:after="240" w:line="360" w:lineRule="auto"/>
        <w:jc w:val="both"/>
        <w:rPr>
          <w:rFonts w:cs="Times New Roman"/>
        </w:rPr>
      </w:pPr>
      <w:r w:rsidRPr="00A03C4A">
        <w:rPr>
          <w:rFonts w:cs="Times New Roman"/>
        </w:rPr>
        <w:t xml:space="preserve">2. Prevote Phase: Validators receive the proposed block, verify its validity, and broadcast a 'Prevote' message containing their cryptographic signature. A validator only </w:t>
      </w:r>
      <w:proofErr w:type="gramStart"/>
      <w:r w:rsidRPr="00A03C4A">
        <w:rPr>
          <w:rFonts w:cs="Times New Roman"/>
        </w:rPr>
        <w:t>prevotes for</w:t>
      </w:r>
      <w:proofErr w:type="gramEnd"/>
      <w:r w:rsidRPr="00A03C4A">
        <w:rPr>
          <w:rFonts w:cs="Times New Roman"/>
        </w:rPr>
        <w:t xml:space="preserve"> a block if it is mathematically valid and does not conflict with previous states. The network waits until it accumulates prevotes representing at least two-thirds (&gt;66%) of the total </w:t>
      </w:r>
      <w:proofErr w:type="gramStart"/>
      <w:r w:rsidRPr="00A03C4A">
        <w:rPr>
          <w:rFonts w:cs="Times New Roman"/>
        </w:rPr>
        <w:t>staked voting power</w:t>
      </w:r>
      <w:proofErr w:type="gramEnd"/>
      <w:r w:rsidRPr="00A03C4A">
        <w:rPr>
          <w:rFonts w:cs="Times New Roman"/>
        </w:rPr>
        <w:t>.</w:t>
      </w:r>
    </w:p>
    <w:p w14:paraId="0BC6C9BD" w14:textId="77777777" w:rsidR="00432383" w:rsidRPr="00A03C4A" w:rsidRDefault="00000000">
      <w:pPr>
        <w:spacing w:after="240" w:line="360" w:lineRule="auto"/>
        <w:jc w:val="both"/>
        <w:rPr>
          <w:rFonts w:cs="Times New Roman"/>
        </w:rPr>
      </w:pPr>
      <w:r w:rsidRPr="00A03C4A">
        <w:rPr>
          <w:rFonts w:cs="Times New Roman"/>
        </w:rPr>
        <w:lastRenderedPageBreak/>
        <w:t>3. Precommit Phase: Once a validator observes a two-thirds majority of prevotes for a specific block, it locks onto that block (Proof of Lock Change) and broadcasts a 'Precommit' message. This locking prevents a validator from legally voting for a different block at the same height. Once a block receives precommits from two-thirds of the voting power, it is officially committed to the blockchain, and the network transitions to the next block height.</w:t>
      </w:r>
    </w:p>
    <w:p w14:paraId="643616F9"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III.2. Advantages of Tendermint</w:t>
      </w:r>
    </w:p>
    <w:p w14:paraId="0A1C3AF5" w14:textId="77777777" w:rsidR="00432383" w:rsidRPr="00A03C4A" w:rsidRDefault="00000000">
      <w:pPr>
        <w:spacing w:after="240" w:line="360" w:lineRule="auto"/>
        <w:jc w:val="both"/>
        <w:rPr>
          <w:rFonts w:cs="Times New Roman"/>
        </w:rPr>
      </w:pPr>
      <w:r w:rsidRPr="00A03C4A">
        <w:rPr>
          <w:rFonts w:cs="Times New Roman"/>
        </w:rPr>
        <w:t>The primary advantage of Tendermint is deterministic, absolute finality. In Nakamoto PoW or probabilistic PoS (like Ouroboros), finality is a continuous spectrum (Kiayias et al., 2017). In Tendermint, finality is instant. The moment a block is produced and precommitted, it is final, eliminating the finality delay seen in systems like Ethereum's Casper FFG (Buterin &amp; Griffith, 2017).</w:t>
      </w:r>
    </w:p>
    <w:p w14:paraId="780E7D13" w14:textId="77777777" w:rsidR="00432383" w:rsidRPr="00A03C4A" w:rsidRDefault="00000000">
      <w:pPr>
        <w:spacing w:after="240" w:line="360" w:lineRule="auto"/>
        <w:jc w:val="both"/>
        <w:rPr>
          <w:rFonts w:cs="Times New Roman"/>
        </w:rPr>
      </w:pPr>
      <w:r w:rsidRPr="00A03C4A">
        <w:rPr>
          <w:rFonts w:cs="Times New Roman"/>
        </w:rPr>
        <w:t xml:space="preserve">Additionally, Tendermint provides a rigorous defense against the 'nothing-at-stake' problem. If a validator attempts to vote for two different blocks at the same height (equivocation), the cryptographic evidence of their </w:t>
      </w:r>
      <w:proofErr w:type="gramStart"/>
      <w:r w:rsidRPr="00A03C4A">
        <w:rPr>
          <w:rFonts w:cs="Times New Roman"/>
        </w:rPr>
        <w:t>double-signature</w:t>
      </w:r>
      <w:proofErr w:type="gramEnd"/>
      <w:r w:rsidRPr="00A03C4A">
        <w:rPr>
          <w:rFonts w:cs="Times New Roman"/>
        </w:rPr>
        <w:t xml:space="preserve"> is permanently embedded in the network. The protocol instantly penalizes the offender by slashing their bonded stake, making such attacks economically irrational.</w:t>
      </w:r>
    </w:p>
    <w:p w14:paraId="5EE14B52"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III.3. Limitations and Centralization Risks</w:t>
      </w:r>
    </w:p>
    <w:p w14:paraId="041367BA" w14:textId="77777777" w:rsidR="00432383" w:rsidRPr="00A03C4A" w:rsidRDefault="00000000">
      <w:pPr>
        <w:spacing w:after="240" w:line="360" w:lineRule="auto"/>
        <w:jc w:val="both"/>
        <w:rPr>
          <w:rFonts w:cs="Times New Roman"/>
        </w:rPr>
      </w:pPr>
      <w:r w:rsidRPr="00A03C4A">
        <w:rPr>
          <w:rFonts w:cs="Times New Roman"/>
        </w:rPr>
        <w:t>The most significant limitation of Tendermint is its validator scaling bottleneck. Because the protocol relies on classical BFT, validators must communicate with every other validator to broadcast Prevote and Precommit messages. This all-to-all communication model results in an O(n^2) message complexity. As the validator set grows, the network becomes exponentially saturated with voting signatures.</w:t>
      </w:r>
    </w:p>
    <w:p w14:paraId="777F035D" w14:textId="77777777" w:rsidR="00432383" w:rsidRPr="00A03C4A" w:rsidRDefault="00000000">
      <w:pPr>
        <w:spacing w:after="240" w:line="360" w:lineRule="auto"/>
        <w:jc w:val="both"/>
        <w:rPr>
          <w:rFonts w:cs="Times New Roman"/>
        </w:rPr>
      </w:pPr>
      <w:r w:rsidRPr="00A03C4A">
        <w:rPr>
          <w:rFonts w:cs="Times New Roman"/>
        </w:rPr>
        <w:t xml:space="preserve">Consequently, Tendermint networks must strictly limit their active validator sets (often capped at 100 to 150 nodes) to maintain high throughput and low latency. While this ensures blazingly fast block times, it inherently leads to validator centralization. This dynamic forces a trade-off between incentivizing participation and maintaining decentralization, a tension analyzed extensively in recent game-theoretic models of PoS cryptocurrencies (Kiayias et al., 2024). When wealth and staking power are heavily concentrated among a few dozen nodes, the system </w:t>
      </w:r>
      <w:r w:rsidRPr="00A03C4A">
        <w:rPr>
          <w:rFonts w:cs="Times New Roman"/>
        </w:rPr>
        <w:lastRenderedPageBreak/>
        <w:t>suffers from high Gini-coefficients of wealth distribution, severely undermining the philosophical ethos of decentralization (Kuśmierz &amp; Overko, 2022).</w:t>
      </w:r>
    </w:p>
    <w:p w14:paraId="5EB0FAD9"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III.4. Attack Vectors: Weak Subjectivity and Long-Range Attacks</w:t>
      </w:r>
    </w:p>
    <w:p w14:paraId="46943E9C" w14:textId="77777777" w:rsidR="00432383" w:rsidRPr="00A03C4A" w:rsidRDefault="00000000">
      <w:pPr>
        <w:spacing w:after="240" w:line="360" w:lineRule="auto"/>
        <w:jc w:val="both"/>
        <w:rPr>
          <w:rFonts w:cs="Times New Roman"/>
        </w:rPr>
      </w:pPr>
      <w:r w:rsidRPr="00A03C4A">
        <w:rPr>
          <w:rFonts w:cs="Times New Roman"/>
        </w:rPr>
        <w:t xml:space="preserve">Tendermint networks face specific attack vectors inherently tied to their BFT foundations and PoS nature. A major vulnerability stems from the concept of weak subjectivity. As originally argued, PoS cannot be fully 'objective' the way PoW is, because there is no physical thermodynamic expenditure anchoring the chain's history (Buterin, 2014). A newly </w:t>
      </w:r>
      <w:proofErr w:type="gramStart"/>
      <w:r w:rsidRPr="00A03C4A">
        <w:rPr>
          <w:rFonts w:cs="Times New Roman"/>
        </w:rPr>
        <w:t>joining</w:t>
      </w:r>
      <w:proofErr w:type="gramEnd"/>
      <w:r w:rsidRPr="00A03C4A">
        <w:rPr>
          <w:rFonts w:cs="Times New Roman"/>
        </w:rPr>
        <w:t xml:space="preserve"> Tendermint node must trust a recent checkpoint to determine the valid chain. If validators who have already </w:t>
      </w:r>
      <w:proofErr w:type="gramStart"/>
      <w:r w:rsidRPr="00A03C4A">
        <w:rPr>
          <w:rFonts w:cs="Times New Roman"/>
        </w:rPr>
        <w:t>exited</w:t>
      </w:r>
      <w:proofErr w:type="gramEnd"/>
      <w:r w:rsidRPr="00A03C4A">
        <w:rPr>
          <w:rFonts w:cs="Times New Roman"/>
        </w:rPr>
        <w:t xml:space="preserve"> staking collude to build a fake alternate chain from a past point, they can trick new nodes because their historical signatures are still cryptographically valid, and their stake has already been withdrawn, leaving nothing to slash. Formal analyses of cryptoeconomic safety reveal that relying on a weak-subjectivity period does not fully solve the problem, as ex-validators still pose a systemic threat (Eze et al., 2024).</w:t>
      </w:r>
    </w:p>
    <w:p w14:paraId="4032B01A" w14:textId="77777777" w:rsidR="00432383" w:rsidRPr="00A03C4A" w:rsidRDefault="00000000">
      <w:pPr>
        <w:spacing w:after="240" w:line="360" w:lineRule="auto"/>
        <w:jc w:val="both"/>
        <w:rPr>
          <w:rFonts w:cs="Times New Roman"/>
        </w:rPr>
      </w:pPr>
      <w:r w:rsidRPr="00A03C4A">
        <w:rPr>
          <w:rFonts w:cs="Times New Roman"/>
        </w:rPr>
        <w:t xml:space="preserve">This vulnerability directly enables Long-Range Attacks, including specific variants like Stake-Bleeding. In a stake-bleeding attack, adversaries secretly maintain an alternate chain and gradually compound their staking rewards over months or years until they gain a supermajority on the hidden fork, eventually presenting it to newly joined nodes (Gaži, 2018). Tendermint mitigates this by enforcing strict unbonding periods (e.g., 21 days) to ensure validators cannot withdraw funds immediately after an attack, but the reliance on social consensus for weak subjectivity checkpoints remains a </w:t>
      </w:r>
      <w:proofErr w:type="gramStart"/>
      <w:r w:rsidRPr="00A03C4A">
        <w:rPr>
          <w:rFonts w:cs="Times New Roman"/>
        </w:rPr>
        <w:t>fundamental friction</w:t>
      </w:r>
      <w:proofErr w:type="gramEnd"/>
      <w:r w:rsidRPr="00A03C4A">
        <w:rPr>
          <w:rFonts w:cs="Times New Roman"/>
        </w:rPr>
        <w:t xml:space="preserve"> point compared to pure PoW.</w:t>
      </w:r>
    </w:p>
    <w:p w14:paraId="739AAF95"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IV. Avalanche Consensus</w:t>
      </w:r>
    </w:p>
    <w:p w14:paraId="104ED4AD" w14:textId="77777777" w:rsidR="00432383" w:rsidRPr="00A03C4A" w:rsidRDefault="00000000">
      <w:pPr>
        <w:spacing w:after="240" w:line="360" w:lineRule="auto"/>
        <w:jc w:val="both"/>
        <w:rPr>
          <w:rFonts w:cs="Times New Roman"/>
        </w:rPr>
      </w:pPr>
      <w:r w:rsidRPr="00A03C4A">
        <w:rPr>
          <w:rFonts w:cs="Times New Roman"/>
        </w:rPr>
        <w:t>Avalanche represents a radical departure from both Nakamoto consensus and classical BFT, introducing a novel family of metastable protocols designed to shatter the O(n^2) scaling ceiling (Team Rocket, 2018).</w:t>
      </w:r>
    </w:p>
    <w:p w14:paraId="3B41B9E7"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IV.1. Definition and Directed Acyclic Graph (DAG) Structure</w:t>
      </w:r>
    </w:p>
    <w:p w14:paraId="6385B094" w14:textId="77777777" w:rsidR="00432383" w:rsidRPr="00A03C4A" w:rsidRDefault="00000000">
      <w:pPr>
        <w:spacing w:after="240" w:line="360" w:lineRule="auto"/>
        <w:jc w:val="both"/>
        <w:rPr>
          <w:rFonts w:cs="Times New Roman"/>
        </w:rPr>
      </w:pPr>
      <w:r w:rsidRPr="00A03C4A">
        <w:rPr>
          <w:rFonts w:cs="Times New Roman"/>
        </w:rPr>
        <w:t xml:space="preserve">Instead of organizing transactions into a strict linear blockchain, Avalanche utilizes a Directed Acyclic Graph (DAG) architecture. In a DAG, transactions (or vertices) are processed individually and linked to multiple previous transactions. This non-linear topological ordering </w:t>
      </w:r>
      <w:r w:rsidRPr="00A03C4A">
        <w:rPr>
          <w:rFonts w:cs="Times New Roman"/>
        </w:rPr>
        <w:lastRenderedPageBreak/>
        <w:t>allows multiple non-conflicting transactions to be confirmed simultaneously, without waiting for a globally ordered block proposer.</w:t>
      </w:r>
    </w:p>
    <w:p w14:paraId="1AD3F98E"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IV.2. Core Mechanics: The Metastable Consensus Protocol</w:t>
      </w:r>
    </w:p>
    <w:p w14:paraId="5119839E" w14:textId="77777777" w:rsidR="00432383" w:rsidRPr="00A03C4A" w:rsidRDefault="00000000">
      <w:pPr>
        <w:spacing w:after="240" w:line="360" w:lineRule="auto"/>
        <w:jc w:val="both"/>
        <w:rPr>
          <w:rFonts w:cs="Times New Roman"/>
        </w:rPr>
      </w:pPr>
      <w:r w:rsidRPr="00A03C4A">
        <w:rPr>
          <w:rFonts w:cs="Times New Roman"/>
        </w:rPr>
        <w:t>Avalanche abandons the all-to-all communication model of PBFT. Instead, it relies on Repeated Random Subsampling and a mechanism known as metastability. The core algorithm progresses through foundational stages: Slush, Snowflake, Snowball, and finally Avalanche.</w:t>
      </w:r>
    </w:p>
    <w:p w14:paraId="5ADB25BB" w14:textId="77777777" w:rsidR="00432383" w:rsidRPr="00A03C4A" w:rsidRDefault="00000000">
      <w:pPr>
        <w:spacing w:after="240" w:line="360" w:lineRule="auto"/>
        <w:jc w:val="both"/>
        <w:rPr>
          <w:rFonts w:cs="Times New Roman"/>
        </w:rPr>
      </w:pPr>
      <w:r w:rsidRPr="00A03C4A">
        <w:rPr>
          <w:rFonts w:cs="Times New Roman"/>
        </w:rPr>
        <w:t xml:space="preserve">1. Slush: When a validator receives an unverified transaction, it randomly selects a small, fixed-size sample of peers (k) and queries their preference. If a supermajority of the sampled peers (alpha) </w:t>
      </w:r>
      <w:proofErr w:type="gramStart"/>
      <w:r w:rsidRPr="00A03C4A">
        <w:rPr>
          <w:rFonts w:cs="Times New Roman"/>
        </w:rPr>
        <w:t>share</w:t>
      </w:r>
      <w:proofErr w:type="gramEnd"/>
      <w:r w:rsidRPr="00A03C4A">
        <w:rPr>
          <w:rFonts w:cs="Times New Roman"/>
        </w:rPr>
        <w:t xml:space="preserve"> the same preference, the validator updates its own preference to match. If the threshold is not met, the validator retains its current state. This process is repeated iteratively.</w:t>
      </w:r>
    </w:p>
    <w:p w14:paraId="24434EE7" w14:textId="77777777" w:rsidR="00432383" w:rsidRPr="00A03C4A" w:rsidRDefault="00000000">
      <w:pPr>
        <w:spacing w:after="240" w:line="360" w:lineRule="auto"/>
        <w:jc w:val="both"/>
        <w:rPr>
          <w:rFonts w:cs="Times New Roman"/>
        </w:rPr>
      </w:pPr>
      <w:r w:rsidRPr="00A03C4A">
        <w:rPr>
          <w:rFonts w:cs="Times New Roman"/>
        </w:rPr>
        <w:t>2. Snowflake and Snowball: To prevent malicious actors from endlessly flipping states, the system introduces stateful counters and confidence metrics. A validator tracks how many consecutive times its random subsample yielded the same preference. It also maintains a permanent confidence score. When choosing between competing transactions, the validator aligns with the one holding the highest confidence score.</w:t>
      </w:r>
    </w:p>
    <w:p w14:paraId="4536B0D6" w14:textId="77777777" w:rsidR="00432383" w:rsidRPr="00A03C4A" w:rsidRDefault="00000000">
      <w:pPr>
        <w:spacing w:after="240" w:line="360" w:lineRule="auto"/>
        <w:jc w:val="both"/>
        <w:rPr>
          <w:rFonts w:cs="Times New Roman"/>
        </w:rPr>
      </w:pPr>
      <w:r w:rsidRPr="00A03C4A">
        <w:rPr>
          <w:rFonts w:cs="Times New Roman"/>
        </w:rPr>
        <w:t xml:space="preserve">3. Avalanche: The Snowball algorithm is mapped onto the DAG. Voting for a specific vertex acts as an implicit vote for </w:t>
      </w:r>
      <w:proofErr w:type="gramStart"/>
      <w:r w:rsidRPr="00A03C4A">
        <w:rPr>
          <w:rFonts w:cs="Times New Roman"/>
        </w:rPr>
        <w:t>all of</w:t>
      </w:r>
      <w:proofErr w:type="gramEnd"/>
      <w:r w:rsidRPr="00A03C4A">
        <w:rPr>
          <w:rFonts w:cs="Times New Roman"/>
        </w:rPr>
        <w:t xml:space="preserve"> its ancestor vertices. When a validator successfully subsamples and gains confidence in a vertex, it simultaneously amplifies the confidence of the entire historical lineage.</w:t>
      </w:r>
    </w:p>
    <w:p w14:paraId="5E2ACF11" w14:textId="77777777" w:rsidR="00432383" w:rsidRPr="00A03C4A" w:rsidRDefault="00000000">
      <w:pPr>
        <w:spacing w:after="240" w:line="360" w:lineRule="auto"/>
        <w:jc w:val="both"/>
        <w:rPr>
          <w:rFonts w:cs="Times New Roman"/>
        </w:rPr>
      </w:pPr>
      <w:r w:rsidRPr="00A03C4A">
        <w:rPr>
          <w:rFonts w:cs="Times New Roman"/>
        </w:rPr>
        <w:t xml:space="preserve">Due to the network's metastable nature, even if the network is perfectly split between two conflicting transactions, random statistical variance during the subsampling rounds will inevitably tip the balance. Once tilted, positive feedback </w:t>
      </w:r>
      <w:proofErr w:type="gramStart"/>
      <w:r w:rsidRPr="00A03C4A">
        <w:rPr>
          <w:rFonts w:cs="Times New Roman"/>
        </w:rPr>
        <w:t>loops take</w:t>
      </w:r>
      <w:proofErr w:type="gramEnd"/>
      <w:r w:rsidRPr="00A03C4A">
        <w:rPr>
          <w:rFonts w:cs="Times New Roman"/>
        </w:rPr>
        <w:t xml:space="preserve"> over, rapidly pulling the entire network toward a single, irreversible consensus decision.</w:t>
      </w:r>
    </w:p>
    <w:p w14:paraId="2B56AA66"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IV.3. Advantages of Avalanche</w:t>
      </w:r>
    </w:p>
    <w:p w14:paraId="36D3E21F" w14:textId="77777777" w:rsidR="00432383" w:rsidRPr="00A03C4A" w:rsidRDefault="00000000">
      <w:pPr>
        <w:spacing w:after="240" w:line="360" w:lineRule="auto"/>
        <w:jc w:val="both"/>
        <w:rPr>
          <w:rFonts w:cs="Times New Roman"/>
        </w:rPr>
      </w:pPr>
      <w:r w:rsidRPr="00A03C4A">
        <w:rPr>
          <w:rFonts w:cs="Times New Roman"/>
        </w:rPr>
        <w:t xml:space="preserve">The paramount advantage of Avalanche is its unparalleled scalability. Because each validator only communicates with a small, constant number of peers (k) during random subsampling, the communication overhead per node is </w:t>
      </w:r>
      <w:proofErr w:type="gramStart"/>
      <w:r w:rsidRPr="00A03C4A">
        <w:rPr>
          <w:rFonts w:cs="Times New Roman"/>
        </w:rPr>
        <w:t>O(</w:t>
      </w:r>
      <w:proofErr w:type="gramEnd"/>
      <w:r w:rsidRPr="00A03C4A">
        <w:rPr>
          <w:rFonts w:cs="Times New Roman"/>
        </w:rPr>
        <w:t xml:space="preserve">1). This allows Avalanche to support thousands, or even millions, of independent validators without degrading network performance, directly addressing </w:t>
      </w:r>
      <w:r w:rsidRPr="00A03C4A">
        <w:rPr>
          <w:rFonts w:cs="Times New Roman"/>
        </w:rPr>
        <w:lastRenderedPageBreak/>
        <w:t>the participation versus decentralization trade-off that plagues PBFT models (Kiayias et al., 2024).</w:t>
      </w:r>
    </w:p>
    <w:p w14:paraId="79969BA5" w14:textId="77777777" w:rsidR="00432383" w:rsidRPr="00A03C4A" w:rsidRDefault="00000000">
      <w:pPr>
        <w:spacing w:after="240" w:line="360" w:lineRule="auto"/>
        <w:jc w:val="both"/>
        <w:rPr>
          <w:rFonts w:cs="Times New Roman"/>
        </w:rPr>
      </w:pPr>
      <w:r w:rsidRPr="00A03C4A">
        <w:rPr>
          <w:rFonts w:cs="Times New Roman"/>
        </w:rPr>
        <w:t>Furthermore, Avalanche boasts unprecedented throughput and sub-second finality. Transactions are typically finalized in under 500 milliseconds, as the DAG structure allows for asynchronous and parallel processing.</w:t>
      </w:r>
    </w:p>
    <w:p w14:paraId="21DE07B9" w14:textId="77777777" w:rsidR="00432383" w:rsidRPr="00A03C4A" w:rsidRDefault="00000000">
      <w:pPr>
        <w:pStyle w:val="Heading2"/>
        <w:rPr>
          <w:rFonts w:ascii="Times New Roman" w:hAnsi="Times New Roman" w:cs="Times New Roman"/>
          <w:b w:val="0"/>
          <w:bCs w:val="0"/>
        </w:rPr>
      </w:pPr>
      <w:r w:rsidRPr="00A03C4A">
        <w:rPr>
          <w:rFonts w:ascii="Times New Roman" w:hAnsi="Times New Roman" w:cs="Times New Roman"/>
          <w:b w:val="0"/>
          <w:bCs w:val="0"/>
          <w:color w:val="000000"/>
          <w:sz w:val="24"/>
        </w:rPr>
        <w:t>IV.4. Limitations and Attack Vectors</w:t>
      </w:r>
    </w:p>
    <w:p w14:paraId="5DDB0492" w14:textId="77777777" w:rsidR="00432383" w:rsidRPr="00A03C4A" w:rsidRDefault="00000000">
      <w:pPr>
        <w:spacing w:after="240" w:line="360" w:lineRule="auto"/>
        <w:jc w:val="both"/>
        <w:rPr>
          <w:rFonts w:cs="Times New Roman"/>
        </w:rPr>
      </w:pPr>
      <w:r w:rsidRPr="00A03C4A">
        <w:rPr>
          <w:rFonts w:cs="Times New Roman"/>
        </w:rPr>
        <w:t>Unlike Tendermint's absolute deterministic finality, Avalanche provides probabilistic finality. The probability of a finalized transaction being reverted decreases exponentially and can be mathematically parameterized to be infinitesimally small, but it lacks the rigid, lock-step certainty of classical BFT.</w:t>
      </w:r>
    </w:p>
    <w:p w14:paraId="364B3001" w14:textId="77777777" w:rsidR="00432383" w:rsidRPr="00A03C4A" w:rsidRDefault="00000000">
      <w:pPr>
        <w:spacing w:after="240" w:line="360" w:lineRule="auto"/>
        <w:jc w:val="both"/>
        <w:rPr>
          <w:rFonts w:cs="Times New Roman"/>
        </w:rPr>
      </w:pPr>
      <w:r w:rsidRPr="00A03C4A">
        <w:rPr>
          <w:rFonts w:cs="Times New Roman"/>
        </w:rPr>
        <w:t>Because Avalanche relies on random peer sampling, it is theoretically vulnerable to Sybil attacks if the network topology is easily overwhelmed. To defend against this, Avalanche layers Proof-of-Stake on top of the consensus mechanism: the probability of a node being selected during random subsampling is directly proportional to its staked capital. However, this introduces the same validator centralization risks observed in Ethereum. Empirical data measuring actual validator-set concentration post-Merge reveals that stake inevitably clusters around major custodians and liquid staking providers (Grandjean et al., 2023). Under rigorous scrutiny, Ethereum’s PoS design demonstrates high centralization risks (Buterin et al., 2023); Avalanche inherits these exact economic centralization dynamics because the subsampling weight is purely financial.</w:t>
      </w:r>
    </w:p>
    <w:p w14:paraId="7D7D5D78" w14:textId="77777777" w:rsidR="00432383" w:rsidRPr="00A03C4A" w:rsidRDefault="00000000">
      <w:pPr>
        <w:spacing w:after="240" w:line="360" w:lineRule="auto"/>
        <w:jc w:val="both"/>
        <w:rPr>
          <w:rFonts w:cs="Times New Roman"/>
        </w:rPr>
      </w:pPr>
      <w:r w:rsidRPr="00A03C4A">
        <w:rPr>
          <w:rFonts w:cs="Times New Roman"/>
        </w:rPr>
        <w:t>Additionally, while long-range attacks are mitigated through similar unbonding and weak subjectivity mechanisms as Tendermint, Avalanche must also defend against liveness denial. An attacker could carefully craft conflicting transactions and release them with perfect timing, keeping the network in a prolonged state of metastability. While the Snowball algorithm makes this practically arduous, it lacks the rigid mathematical liveness bounds of classical BFT.</w:t>
      </w:r>
    </w:p>
    <w:p w14:paraId="4D77ACE5"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V. Comparative Analysis: Overcoming Traditional PoS Limitations</w:t>
      </w:r>
    </w:p>
    <w:p w14:paraId="0330A10A" w14:textId="77777777" w:rsidR="00432383" w:rsidRPr="00A03C4A" w:rsidRDefault="00000000">
      <w:pPr>
        <w:spacing w:after="240" w:line="360" w:lineRule="auto"/>
        <w:jc w:val="both"/>
        <w:rPr>
          <w:rFonts w:cs="Times New Roman"/>
        </w:rPr>
      </w:pPr>
      <w:r w:rsidRPr="00A03C4A">
        <w:rPr>
          <w:rFonts w:cs="Times New Roman"/>
        </w:rPr>
        <w:t xml:space="preserve">When analyzing Tendermint and Avalanche against traditional PoS systems like Ethereum’s Gasper (combining Casper FFG and LMD-GHOST) or Cardano's Ouroboros, it is evident that </w:t>
      </w:r>
      <w:r w:rsidRPr="00A03C4A">
        <w:rPr>
          <w:rFonts w:cs="Times New Roman"/>
        </w:rPr>
        <w:lastRenderedPageBreak/>
        <w:t>emerging protocols were engineered to solve specific, chronic vulnerabilities identified in early blockchain literature.</w:t>
      </w:r>
    </w:p>
    <w:p w14:paraId="7B9EB9EC" w14:textId="77777777" w:rsidR="00432383" w:rsidRPr="00A03C4A" w:rsidRDefault="00000000">
      <w:pPr>
        <w:spacing w:after="240" w:line="360" w:lineRule="auto"/>
        <w:jc w:val="both"/>
        <w:rPr>
          <w:rFonts w:cs="Times New Roman"/>
        </w:rPr>
      </w:pPr>
      <w:r w:rsidRPr="00A03C4A">
        <w:rPr>
          <w:rFonts w:cs="Times New Roman"/>
        </w:rPr>
        <w:t>Traditional PoS systems suffer from extreme finality delays. Ethereum's Casper FFG relies on epochs and checkpoints, meaning users and decentralized applications must wait roughly 15 minutes before considering a transaction economically irreversible (Buterin &amp; Griffith, 2017). During this window, transactions remain vulnerable to LMD-GHOST fork-choice manipulation. Tendermint solves this completely by finalizing every single block instantly before the next block can even be proposed. Avalanche solves it by finalizing vertices via subsampled DAG consensus in under one second.</w:t>
      </w:r>
    </w:p>
    <w:p w14:paraId="134F82E8" w14:textId="77777777" w:rsidR="00432383" w:rsidRPr="00A03C4A" w:rsidRDefault="00000000">
      <w:pPr>
        <w:spacing w:after="240" w:line="360" w:lineRule="auto"/>
        <w:jc w:val="both"/>
        <w:rPr>
          <w:rFonts w:cs="Times New Roman"/>
        </w:rPr>
      </w:pPr>
      <w:r w:rsidRPr="00A03C4A">
        <w:rPr>
          <w:rFonts w:cs="Times New Roman"/>
        </w:rPr>
        <w:t xml:space="preserve">Furthermore, mitigating Long-Range Attacks in traditional PoS requires complex cryptographic cryptography. Protocols like Winkle have been proposed to foil long-range attacks by relying on decentralized checkpointing and delegated signatures (Azouvi et al., 2019). Comprehensive surveys on long-range attacks—including simple, posterior corruption, and stake-bleeding variants—highlight the immense difficulty of preventing history rewrites without relying on external trust anchors (Deirmentzoglou et al., 2019). Tendermint and Avalanche address this by tightly coupling consensus with strict, unyielding weak subjectivity checkpoints and aggressive slashing conditions that are executed much faster than traditional probabilistic chains. The rapid finality of both protocols severely limits the time window an attacker </w:t>
      </w:r>
      <w:proofErr w:type="gramStart"/>
      <w:r w:rsidRPr="00A03C4A">
        <w:rPr>
          <w:rFonts w:cs="Times New Roman"/>
        </w:rPr>
        <w:t>has to</w:t>
      </w:r>
      <w:proofErr w:type="gramEnd"/>
      <w:r w:rsidRPr="00A03C4A">
        <w:rPr>
          <w:rFonts w:cs="Times New Roman"/>
        </w:rPr>
        <w:t xml:space="preserve"> coordinate posterior corruption before the network has irreversibly moved on.</w:t>
      </w:r>
    </w:p>
    <w:p w14:paraId="6C5DC589" w14:textId="77777777" w:rsidR="00432383" w:rsidRPr="00A03C4A" w:rsidRDefault="00000000">
      <w:pPr>
        <w:spacing w:after="240" w:line="360" w:lineRule="auto"/>
        <w:jc w:val="both"/>
        <w:rPr>
          <w:rFonts w:cs="Times New Roman"/>
        </w:rPr>
      </w:pPr>
      <w:r w:rsidRPr="00A03C4A">
        <w:rPr>
          <w:rFonts w:cs="Times New Roman"/>
        </w:rPr>
        <w:t xml:space="preserve">However, neither Tendermint nor Avalanche fully escapes the gravity of validator centralization. As the literature highlights, designing a protocol that incentivizes broad participation while preventing wealth monopolization remains an unsolved game-theoretic challenge (Kiayias et al., 2024). Tendermint sacrifices massive decentralization entirely by capping validators to maintain O(n^2) performance. Avalanche theoretically supports infinite validators via </w:t>
      </w:r>
      <w:proofErr w:type="gramStart"/>
      <w:r w:rsidRPr="00A03C4A">
        <w:rPr>
          <w:rFonts w:cs="Times New Roman"/>
        </w:rPr>
        <w:t>O(</w:t>
      </w:r>
      <w:proofErr w:type="gramEnd"/>
      <w:r w:rsidRPr="00A03C4A">
        <w:rPr>
          <w:rFonts w:cs="Times New Roman"/>
        </w:rPr>
        <w:t>1) messaging, but in practice, the PoS economic weighting naturally leads to wealth concentration, mirroring the empirical centralization metrics observed in Ethereum's consensus layer (Buterin et al., 2023; Grandjean et al., 2023; Kuśmierz &amp; Overko, 2022).</w:t>
      </w:r>
    </w:p>
    <w:p w14:paraId="64700F01"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lastRenderedPageBreak/>
        <w:t>VI. Conclusion</w:t>
      </w:r>
    </w:p>
    <w:p w14:paraId="39FC8B7B" w14:textId="77777777" w:rsidR="00432383" w:rsidRPr="00A03C4A" w:rsidRDefault="00000000">
      <w:pPr>
        <w:spacing w:after="240" w:line="360" w:lineRule="auto"/>
        <w:jc w:val="both"/>
        <w:rPr>
          <w:rFonts w:cs="Times New Roman"/>
        </w:rPr>
      </w:pPr>
      <w:r w:rsidRPr="00A03C4A">
        <w:rPr>
          <w:rFonts w:cs="Times New Roman"/>
        </w:rPr>
        <w:t>The evolution from Nakamoto's foundational Proof-of-Work to emerging consensus protocols marks a critical maturation in distributed ledger technology. Traditional Proof-of-Stake successfully eliminated the environmental degradation of PoW but encountered severe theoretical bottlenecks regarding probabilistic finality delays, the nothing-at-stake dilemma, long-range attacks, and the inescapable reliance on weak subjectivity.</w:t>
      </w:r>
    </w:p>
    <w:p w14:paraId="287FB9AA" w14:textId="77777777" w:rsidR="00432383" w:rsidRPr="00A03C4A" w:rsidRDefault="00000000">
      <w:pPr>
        <w:spacing w:after="240" w:line="360" w:lineRule="auto"/>
        <w:jc w:val="both"/>
        <w:rPr>
          <w:rFonts w:cs="Times New Roman"/>
        </w:rPr>
      </w:pPr>
      <w:r w:rsidRPr="00A03C4A">
        <w:rPr>
          <w:rFonts w:cs="Times New Roman"/>
        </w:rPr>
        <w:t xml:space="preserve">Tendermint elegantly adapted classical Byzantine Fault Tolerance for the permissionless era. By swapping identity for economic stake, it achieves instant deterministic finality and rigorous on-chain slashing, directly neutralizing the nothing-at-stake threat. However, it remains inherently </w:t>
      </w:r>
      <w:proofErr w:type="gramStart"/>
      <w:r w:rsidRPr="00A03C4A">
        <w:rPr>
          <w:rFonts w:cs="Times New Roman"/>
        </w:rPr>
        <w:t>bounded</w:t>
      </w:r>
      <w:proofErr w:type="gramEnd"/>
      <w:r w:rsidRPr="00A03C4A">
        <w:rPr>
          <w:rFonts w:cs="Times New Roman"/>
        </w:rPr>
        <w:t xml:space="preserve"> by the communication overhead of large validator sets, forcing a centralization compromise. Conversely, Avalanche reimagined consensus entirely. By replacing linear blockchains with Directed Acyclic Graphs and replacing all-to-all voting with metastable random subsampling, it shatters the validator scaling ceiling while delivering sub-second finality.</w:t>
      </w:r>
    </w:p>
    <w:p w14:paraId="47026947" w14:textId="77777777" w:rsidR="00432383" w:rsidRPr="00A03C4A" w:rsidRDefault="00000000">
      <w:pPr>
        <w:spacing w:after="240" w:line="360" w:lineRule="auto"/>
        <w:jc w:val="both"/>
        <w:rPr>
          <w:rFonts w:cs="Times New Roman"/>
        </w:rPr>
      </w:pPr>
      <w:r w:rsidRPr="00A03C4A">
        <w:rPr>
          <w:rFonts w:cs="Times New Roman"/>
        </w:rPr>
        <w:t>Ultimately, these emerging protocols prove that Proof-of-Stake is not a monolith, but a flexible economic foundation. While they do not completely eradicate the economic realities of validator centralization or the necessity of weak subjectivity, pairing PoS Sybil resistance with advanced distributed systems algorithms like PBFT and Snowball has successfully resolved the most pressing performance limitations of first-generation PoS networks. This synthesis paves the way for globally scalable, instantaneous, and highly secure decentralized infrastructure.</w:t>
      </w:r>
    </w:p>
    <w:p w14:paraId="428D9D50" w14:textId="77777777" w:rsidR="00432383" w:rsidRPr="00A03C4A" w:rsidRDefault="00000000">
      <w:pPr>
        <w:pStyle w:val="Heading1"/>
        <w:rPr>
          <w:rFonts w:ascii="Times New Roman" w:hAnsi="Times New Roman" w:cs="Times New Roman"/>
          <w:b w:val="0"/>
          <w:bCs w:val="0"/>
        </w:rPr>
      </w:pPr>
      <w:r w:rsidRPr="00A03C4A">
        <w:rPr>
          <w:rFonts w:ascii="Times New Roman" w:hAnsi="Times New Roman" w:cs="Times New Roman"/>
          <w:b w:val="0"/>
          <w:bCs w:val="0"/>
          <w:color w:val="000000"/>
        </w:rPr>
        <w:t>References</w:t>
      </w:r>
    </w:p>
    <w:p w14:paraId="4DD8DBB4" w14:textId="77777777" w:rsidR="00432383" w:rsidRPr="00A03C4A" w:rsidRDefault="00000000">
      <w:pPr>
        <w:ind w:left="720" w:hanging="720"/>
        <w:rPr>
          <w:rFonts w:cs="Times New Roman"/>
        </w:rPr>
      </w:pPr>
      <w:r w:rsidRPr="00A03C4A">
        <w:rPr>
          <w:rFonts w:cs="Times New Roman"/>
        </w:rPr>
        <w:t>Asgaonkar, A. (2020). Weak Subjectivity in Ethereum 2.0. Ethereum Research (ethresear.ch).</w:t>
      </w:r>
    </w:p>
    <w:p w14:paraId="137179D6" w14:textId="21080469" w:rsidR="00432383" w:rsidRPr="00A03C4A" w:rsidRDefault="00000000">
      <w:pPr>
        <w:ind w:left="720" w:hanging="720"/>
        <w:rPr>
          <w:rFonts w:cs="Times New Roman"/>
        </w:rPr>
      </w:pPr>
      <w:r w:rsidRPr="00A03C4A">
        <w:rPr>
          <w:rFonts w:cs="Times New Roman"/>
        </w:rPr>
        <w:t xml:space="preserve">Azouvi, S., Danezis, G., &amp; Konstantopoulos, V. (2019). Winkle: Foiling Long-Range Attacks </w:t>
      </w:r>
      <w:proofErr w:type="gramStart"/>
      <w:r w:rsidRPr="00A03C4A">
        <w:rPr>
          <w:rFonts w:cs="Times New Roman"/>
        </w:rPr>
        <w:t>in</w:t>
      </w:r>
      <w:proofErr w:type="gramEnd"/>
      <w:r w:rsidRPr="00A03C4A">
        <w:rPr>
          <w:rFonts w:cs="Times New Roman"/>
        </w:rPr>
        <w:t xml:space="preserve"> Proof-of-Stake Systems. IACR ePrint Archive, 2019/1440. </w:t>
      </w:r>
    </w:p>
    <w:p w14:paraId="035BBA5F" w14:textId="77777777" w:rsidR="00432383" w:rsidRPr="00A03C4A" w:rsidRDefault="00000000">
      <w:pPr>
        <w:ind w:left="720" w:hanging="720"/>
        <w:rPr>
          <w:rFonts w:cs="Times New Roman"/>
        </w:rPr>
      </w:pPr>
      <w:r w:rsidRPr="00A03C4A">
        <w:rPr>
          <w:rFonts w:cs="Times New Roman"/>
        </w:rPr>
        <w:t>Buterin, V. (2014). Ethereum Whitepaper: A Next-Generation Smart Contract and Decentralized Application Platform.</w:t>
      </w:r>
    </w:p>
    <w:p w14:paraId="710987C1" w14:textId="77777777" w:rsidR="00432383" w:rsidRPr="00A03C4A" w:rsidRDefault="00000000">
      <w:pPr>
        <w:ind w:left="720" w:hanging="720"/>
        <w:rPr>
          <w:rFonts w:cs="Times New Roman"/>
        </w:rPr>
      </w:pPr>
      <w:r w:rsidRPr="00A03C4A">
        <w:rPr>
          <w:rFonts w:cs="Times New Roman"/>
        </w:rPr>
        <w:t>Buterin, V. (2014). Proof of Stake: How I Learned to Love Weak Subjectivity. Ethereum Foundation Blog.</w:t>
      </w:r>
    </w:p>
    <w:p w14:paraId="15A9EEA0" w14:textId="4B9DFCCC" w:rsidR="00432383" w:rsidRPr="00A03C4A" w:rsidRDefault="00000000">
      <w:pPr>
        <w:ind w:left="720" w:hanging="720"/>
        <w:rPr>
          <w:rFonts w:cs="Times New Roman"/>
        </w:rPr>
      </w:pPr>
      <w:r w:rsidRPr="00A03C4A">
        <w:rPr>
          <w:rFonts w:cs="Times New Roman"/>
        </w:rPr>
        <w:t xml:space="preserve">Buterin, V., &amp; Griffith, V. (2017). Casper the Friendly Finality Gadget. arXiv:1710.09437. </w:t>
      </w:r>
    </w:p>
    <w:p w14:paraId="33343F2D" w14:textId="77777777" w:rsidR="00432383" w:rsidRPr="00A03C4A" w:rsidRDefault="00000000">
      <w:pPr>
        <w:ind w:left="720" w:hanging="720"/>
        <w:rPr>
          <w:rFonts w:cs="Times New Roman"/>
        </w:rPr>
      </w:pPr>
      <w:r w:rsidRPr="00A03C4A">
        <w:rPr>
          <w:rFonts w:cs="Times New Roman"/>
        </w:rPr>
        <w:lastRenderedPageBreak/>
        <w:t>Buterin, V., Herman, D., Reijsbergen, D., &amp; Leonardos, S. (2023). Ethereum Proof-of-Stake under Scrutiny. In Proceedings of the 38th ACM/SIGAPP Symposium on Applied Computing (SAC '23).</w:t>
      </w:r>
    </w:p>
    <w:p w14:paraId="76686D06" w14:textId="77777777" w:rsidR="00432383" w:rsidRPr="00A03C4A" w:rsidRDefault="00000000">
      <w:pPr>
        <w:ind w:left="720" w:hanging="720"/>
        <w:rPr>
          <w:rFonts w:cs="Times New Roman"/>
        </w:rPr>
      </w:pPr>
      <w:r w:rsidRPr="00A03C4A">
        <w:rPr>
          <w:rFonts w:cs="Times New Roman"/>
        </w:rPr>
        <w:t>Castro, M., &amp; Liskov, B. (1999). Practical Byzantine Fault Tolerance. In Proceedings of the Third Symposium on Operating Systems Design and Implementation (OSDI '99).</w:t>
      </w:r>
    </w:p>
    <w:p w14:paraId="1F2B6A8E" w14:textId="77777777" w:rsidR="00432383" w:rsidRPr="00A03C4A" w:rsidRDefault="00000000">
      <w:pPr>
        <w:ind w:left="720" w:hanging="720"/>
        <w:rPr>
          <w:rFonts w:cs="Times New Roman"/>
        </w:rPr>
      </w:pPr>
      <w:r w:rsidRPr="00A03C4A">
        <w:rPr>
          <w:rFonts w:cs="Times New Roman"/>
          <w:lang w:val="fr-FR"/>
        </w:rPr>
        <w:t xml:space="preserve">Deirmentzoglou, E., Papakyriakopoulos, G., &amp; Patsakis, C. (2019). </w:t>
      </w:r>
      <w:r w:rsidRPr="00A03C4A">
        <w:rPr>
          <w:rFonts w:cs="Times New Roman"/>
        </w:rPr>
        <w:t>A Survey on Long-Range Attacks for Proof of Stake Protocols. IEEE Access, 7, 28712-28725.</w:t>
      </w:r>
    </w:p>
    <w:p w14:paraId="5FA3884D" w14:textId="77777777" w:rsidR="00432383" w:rsidRPr="00A03C4A" w:rsidRDefault="00000000">
      <w:pPr>
        <w:ind w:left="720" w:hanging="720"/>
        <w:rPr>
          <w:rFonts w:cs="Times New Roman"/>
        </w:rPr>
      </w:pPr>
      <w:r w:rsidRPr="00A03C4A">
        <w:rPr>
          <w:rFonts w:cs="Times New Roman"/>
        </w:rPr>
        <w:t>Ethereum Foundation. (n.d.). The Beacon Chain - Ethereum Consensus Specs. Retrieved from https://ethereum.github.io/consensus-specs</w:t>
      </w:r>
    </w:p>
    <w:p w14:paraId="1FB0CD16" w14:textId="06F7F0FC" w:rsidR="00432383" w:rsidRPr="00A03C4A" w:rsidRDefault="00000000">
      <w:pPr>
        <w:ind w:left="720" w:hanging="720"/>
        <w:rPr>
          <w:rFonts w:cs="Times New Roman"/>
        </w:rPr>
      </w:pPr>
      <w:r w:rsidRPr="00A03C4A">
        <w:rPr>
          <w:rFonts w:cs="Times New Roman"/>
        </w:rPr>
        <w:t xml:space="preserve">Eze, J., et al. (2024). STAKESURE: Proof of Stake Mechanisms with Strong Cryptoeconomic Safety. arXiv:2401.05797. </w:t>
      </w:r>
    </w:p>
    <w:p w14:paraId="5CB89A09" w14:textId="70E4A2F9" w:rsidR="00432383" w:rsidRPr="00A03C4A" w:rsidRDefault="00000000">
      <w:pPr>
        <w:ind w:left="720" w:hanging="720"/>
        <w:rPr>
          <w:rFonts w:cs="Times New Roman"/>
        </w:rPr>
      </w:pPr>
      <w:r w:rsidRPr="00A03C4A">
        <w:rPr>
          <w:rFonts w:cs="Times New Roman"/>
        </w:rPr>
        <w:t xml:space="preserve">Gaži, P., Kiayias, A., &amp; Russell, A. (2018). Stake-Bleeding Attacks on Proof-of-Stake Blockchains. IACR ePrint Archive, 2018/248. </w:t>
      </w:r>
    </w:p>
    <w:p w14:paraId="30FA2B54" w14:textId="0E4D29D7" w:rsidR="00432383" w:rsidRPr="00A03C4A" w:rsidRDefault="00000000">
      <w:pPr>
        <w:ind w:left="720" w:hanging="720"/>
        <w:rPr>
          <w:rFonts w:cs="Times New Roman"/>
        </w:rPr>
      </w:pPr>
      <w:r w:rsidRPr="00A03C4A">
        <w:rPr>
          <w:rFonts w:cs="Times New Roman"/>
        </w:rPr>
        <w:t xml:space="preserve">Grandjean, D., Heimbach, L., &amp; Wattenhofer, R. (2023). Ethereum Proof-of-Stake Consensus Layer: Participation and Decentralization. arXiv:2306.10777. </w:t>
      </w:r>
    </w:p>
    <w:p w14:paraId="085D0A1D" w14:textId="77777777" w:rsidR="00432383" w:rsidRPr="00A03C4A" w:rsidRDefault="00000000">
      <w:pPr>
        <w:ind w:left="720" w:hanging="720"/>
        <w:rPr>
          <w:rFonts w:cs="Times New Roman"/>
        </w:rPr>
      </w:pPr>
      <w:r w:rsidRPr="00A03C4A">
        <w:rPr>
          <w:rFonts w:cs="Times New Roman"/>
        </w:rPr>
        <w:t>Hyperledger. (n.d.). Hyperledger Fabric Documentation. Retrieved from https://hyperledger-fabric.readthedocs.io</w:t>
      </w:r>
    </w:p>
    <w:p w14:paraId="7459B0C8" w14:textId="414AC87D" w:rsidR="00432383" w:rsidRPr="00A03C4A" w:rsidRDefault="00000000">
      <w:pPr>
        <w:ind w:left="720" w:hanging="720"/>
        <w:rPr>
          <w:rFonts w:cs="Times New Roman"/>
        </w:rPr>
      </w:pPr>
      <w:r w:rsidRPr="00A03C4A">
        <w:rPr>
          <w:rFonts w:cs="Times New Roman"/>
        </w:rPr>
        <w:t xml:space="preserve">Kiayias, A., Koutsoupias, E., Marmolejo-Cossio, F., &amp; Stouka, A. (2024). Balancing Participation and Decentralization in Proof-of-Stake Cryptocurrencies. arXiv:2407.08686. </w:t>
      </w:r>
    </w:p>
    <w:p w14:paraId="2FDFD5FA" w14:textId="77777777" w:rsidR="00432383" w:rsidRPr="00A03C4A" w:rsidRDefault="00000000">
      <w:pPr>
        <w:ind w:left="720" w:hanging="720"/>
        <w:rPr>
          <w:rFonts w:cs="Times New Roman"/>
        </w:rPr>
      </w:pPr>
      <w:r w:rsidRPr="00A03C4A">
        <w:rPr>
          <w:rFonts w:cs="Times New Roman"/>
        </w:rPr>
        <w:t>Kiayias, A., Russell, A., David, B., &amp; Oliynykov, R. (2017). Ouroboros: A Provably Secure Proof-of-Stake Blockchain Protocol. In Advances in Cryptology – CRYPTO 2017 (pp. 357-388). Springer.</w:t>
      </w:r>
    </w:p>
    <w:p w14:paraId="3920B242" w14:textId="6CFA43C4" w:rsidR="00432383" w:rsidRPr="00A03C4A" w:rsidRDefault="00000000">
      <w:pPr>
        <w:ind w:left="720" w:hanging="720"/>
        <w:rPr>
          <w:rFonts w:cs="Times New Roman"/>
        </w:rPr>
      </w:pPr>
      <w:r w:rsidRPr="00A03C4A">
        <w:rPr>
          <w:rFonts w:cs="Times New Roman"/>
        </w:rPr>
        <w:t xml:space="preserve">Kuśmierz, B., &amp; Overko, A. (2022). How Centralized is Decentralized? Comparison of Wealth Distribution in Coins and Tokens. arXiv:2207.01340. </w:t>
      </w:r>
    </w:p>
    <w:p w14:paraId="36637108" w14:textId="77777777" w:rsidR="00432383" w:rsidRPr="00A03C4A" w:rsidRDefault="00000000">
      <w:pPr>
        <w:ind w:left="720" w:hanging="720"/>
        <w:rPr>
          <w:rFonts w:cs="Times New Roman"/>
        </w:rPr>
      </w:pPr>
      <w:r w:rsidRPr="00A03C4A">
        <w:rPr>
          <w:rFonts w:cs="Times New Roman"/>
        </w:rPr>
        <w:t>Nakamoto, S. (2008). Bitcoin: A Peer-to-Peer Electronic Cash System.</w:t>
      </w:r>
    </w:p>
    <w:p w14:paraId="1FF41EB1" w14:textId="77777777" w:rsidR="00432383" w:rsidRPr="00A03C4A" w:rsidRDefault="00000000">
      <w:pPr>
        <w:ind w:left="720" w:hanging="720"/>
        <w:rPr>
          <w:rFonts w:cs="Times New Roman"/>
        </w:rPr>
      </w:pPr>
      <w:r w:rsidRPr="00A03C4A">
        <w:rPr>
          <w:rFonts w:cs="Times New Roman"/>
        </w:rPr>
        <w:t>Pass, R., &amp; Shi, E. (2017). The Sleepy Consensus. In Advances in Cryptology – ASIACRYPT 2017.</w:t>
      </w:r>
    </w:p>
    <w:p w14:paraId="734A3D85" w14:textId="77777777" w:rsidR="00432383" w:rsidRPr="00A03C4A" w:rsidRDefault="00000000">
      <w:pPr>
        <w:ind w:left="720" w:hanging="720"/>
        <w:rPr>
          <w:rFonts w:cs="Times New Roman"/>
        </w:rPr>
      </w:pPr>
      <w:r w:rsidRPr="00A03C4A">
        <w:rPr>
          <w:rFonts w:cs="Times New Roman"/>
        </w:rPr>
        <w:t>Team Rocket. (2018). Snowflake to Avalanche: A Novel Metastable Consensus Protocol Family for Cryptocurrencies (Avalanche Consensus Whitepaper).</w:t>
      </w:r>
    </w:p>
    <w:p w14:paraId="022713A0" w14:textId="77777777" w:rsidR="00432383" w:rsidRPr="00A03C4A" w:rsidRDefault="00000000">
      <w:pPr>
        <w:ind w:left="720" w:hanging="720"/>
        <w:rPr>
          <w:rFonts w:cs="Times New Roman"/>
        </w:rPr>
      </w:pPr>
      <w:r w:rsidRPr="00A03C4A">
        <w:rPr>
          <w:rFonts w:cs="Times New Roman"/>
          <w:lang w:val="fr-FR"/>
        </w:rPr>
        <w:t xml:space="preserve">Tendermint. (n.d.). Tendermint Core Documentation. </w:t>
      </w:r>
      <w:r w:rsidRPr="00A03C4A">
        <w:rPr>
          <w:rFonts w:cs="Times New Roman"/>
        </w:rPr>
        <w:t>Retrieved from https://docs.tendermint.com</w:t>
      </w:r>
    </w:p>
    <w:p w14:paraId="3028A1CA" w14:textId="77777777" w:rsidR="00432383" w:rsidRPr="00A03C4A" w:rsidRDefault="00000000">
      <w:pPr>
        <w:ind w:left="720" w:hanging="720"/>
        <w:rPr>
          <w:rFonts w:cs="Times New Roman"/>
        </w:rPr>
      </w:pPr>
      <w:r w:rsidRPr="00A03C4A">
        <w:rPr>
          <w:rFonts w:cs="Times New Roman"/>
        </w:rPr>
        <w:lastRenderedPageBreak/>
        <w:t xml:space="preserve">Upgrading Ethereum. (n.d.). </w:t>
      </w:r>
      <w:proofErr w:type="gramStart"/>
      <w:r w:rsidRPr="00A03C4A">
        <w:rPr>
          <w:rFonts w:cs="Times New Roman"/>
        </w:rPr>
        <w:t>One Page</w:t>
      </w:r>
      <w:proofErr w:type="gramEnd"/>
      <w:r w:rsidRPr="00A03C4A">
        <w:rPr>
          <w:rFonts w:cs="Times New Roman"/>
        </w:rPr>
        <w:t xml:space="preserve"> Annotated Spec. Retrieved from https://eth2book.info</w:t>
      </w:r>
    </w:p>
    <w:sectPr w:rsidR="00432383" w:rsidRPr="00A03C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797274">
    <w:abstractNumId w:val="8"/>
  </w:num>
  <w:num w:numId="2" w16cid:durableId="231355842">
    <w:abstractNumId w:val="6"/>
  </w:num>
  <w:num w:numId="3" w16cid:durableId="335772315">
    <w:abstractNumId w:val="5"/>
  </w:num>
  <w:num w:numId="4" w16cid:durableId="1109930033">
    <w:abstractNumId w:val="4"/>
  </w:num>
  <w:num w:numId="5" w16cid:durableId="2142114044">
    <w:abstractNumId w:val="7"/>
  </w:num>
  <w:num w:numId="6" w16cid:durableId="1815945106">
    <w:abstractNumId w:val="3"/>
  </w:num>
  <w:num w:numId="7" w16cid:durableId="1342701928">
    <w:abstractNumId w:val="2"/>
  </w:num>
  <w:num w:numId="8" w16cid:durableId="1499926776">
    <w:abstractNumId w:val="1"/>
  </w:num>
  <w:num w:numId="9" w16cid:durableId="991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383"/>
    <w:rsid w:val="00A03C4A"/>
    <w:rsid w:val="00AA1D8D"/>
    <w:rsid w:val="00B47730"/>
    <w:rsid w:val="00CB0664"/>
    <w:rsid w:val="00D46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4CC7E"/>
  <w14:defaultImageDpi w14:val="300"/>
  <w15:docId w15:val="{7D41038D-B3A1-41E3-9A4F-27B60DDE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Manh</cp:lastModifiedBy>
  <cp:revision>2</cp:revision>
  <dcterms:created xsi:type="dcterms:W3CDTF">2013-12-23T23:15:00Z</dcterms:created>
  <dcterms:modified xsi:type="dcterms:W3CDTF">2026-08-30T20:04:00Z</dcterms:modified>
  <cp:category/>
</cp:coreProperties>
</file>